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E4CDA4A"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w:t>
      </w:r>
      <w:r w:rsidR="00FF777C">
        <w:rPr>
          <w:rFonts w:ascii="Arial" w:hAnsi="Arial" w:cs="Arial"/>
          <w:b/>
          <w:sz w:val="24"/>
          <w:szCs w:val="28"/>
        </w:rPr>
        <w:t>30</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42243C" w:rsidRPr="0042243C">
        <w:rPr>
          <w:rFonts w:ascii="Arial" w:hAnsi="Arial" w:cs="Arial"/>
          <w:b/>
          <w:sz w:val="24"/>
          <w:szCs w:val="28"/>
        </w:rPr>
        <w:t>R2-2504110</w:t>
      </w:r>
    </w:p>
    <w:p w14:paraId="1FC815AD" w14:textId="3A020F0E" w:rsidR="00A053D1" w:rsidRPr="00FF777C" w:rsidRDefault="00DC751E">
      <w:pPr>
        <w:tabs>
          <w:tab w:val="left" w:pos="567"/>
        </w:tabs>
        <w:rPr>
          <w:rFonts w:ascii="Arial" w:hAnsi="Arial"/>
          <w:b/>
          <w:sz w:val="22"/>
          <w:szCs w:val="24"/>
          <w:lang w:val="en-US"/>
        </w:rPr>
      </w:pPr>
      <w:r>
        <w:rPr>
          <w:rFonts w:ascii="Arial" w:eastAsia="MS Mincho" w:hAnsi="Arial" w:cs="Arial"/>
          <w:b/>
          <w:sz w:val="24"/>
          <w:lang w:eastAsia="en-US"/>
        </w:rPr>
        <w:t xml:space="preserve">St. Julian’s, </w:t>
      </w:r>
      <w:r w:rsidR="00FF777C" w:rsidRPr="00FF777C">
        <w:rPr>
          <w:rFonts w:ascii="Arial" w:eastAsia="MS Mincho" w:hAnsi="Arial" w:cs="Arial"/>
          <w:b/>
          <w:sz w:val="24"/>
          <w:lang w:eastAsia="en-US"/>
        </w:rPr>
        <w:t>Malta, May 19th – 23</w:t>
      </w:r>
      <w:r>
        <w:rPr>
          <w:rFonts w:ascii="Arial" w:eastAsia="MS Mincho" w:hAnsi="Arial" w:cs="Arial"/>
          <w:b/>
          <w:sz w:val="24"/>
          <w:lang w:eastAsia="en-US"/>
        </w:rPr>
        <w:t>rd</w:t>
      </w:r>
      <w:r w:rsidR="00FF777C" w:rsidRPr="00FF777C">
        <w:rPr>
          <w:rFonts w:ascii="Arial" w:eastAsia="MS Mincho" w:hAnsi="Arial" w:cs="Arial"/>
          <w:b/>
          <w:sz w:val="24"/>
          <w:lang w:eastAsia="en-US"/>
        </w:rPr>
        <w:t>, 2025</w:t>
      </w:r>
    </w:p>
    <w:p w14:paraId="3431DE8E" w14:textId="77777777" w:rsidR="00C715ED" w:rsidRPr="0060578E" w:rsidRDefault="00C715ED" w:rsidP="00134CAB">
      <w:pPr>
        <w:tabs>
          <w:tab w:val="left" w:pos="567"/>
        </w:tabs>
        <w:rPr>
          <w:rFonts w:ascii="Arial" w:hAnsi="Arial"/>
          <w:b/>
          <w:sz w:val="24"/>
          <w:szCs w:val="24"/>
        </w:rPr>
      </w:pPr>
    </w:p>
    <w:p w14:paraId="07BC9FCE" w14:textId="196E9594"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2B10D3">
        <w:rPr>
          <w:rFonts w:ascii="Arial" w:hAnsi="Arial"/>
          <w:sz w:val="24"/>
          <w:szCs w:val="24"/>
        </w:rPr>
        <w:t>5</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0D91108F"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A544AD">
        <w:rPr>
          <w:rFonts w:ascii="Arial" w:hAnsi="Arial"/>
          <w:sz w:val="24"/>
          <w:szCs w:val="24"/>
        </w:rPr>
        <w:t xml:space="preserve">Discussion on </w:t>
      </w:r>
      <w:r w:rsidR="002B10D3">
        <w:rPr>
          <w:rFonts w:ascii="Arial" w:hAnsi="Arial"/>
          <w:sz w:val="24"/>
          <w:szCs w:val="24"/>
        </w:rPr>
        <w:t>performance monitoring</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26F360D" w14:textId="2C90872E" w:rsidR="0030117F" w:rsidRDefault="003371AE" w:rsidP="0030117F">
      <w:pPr>
        <w:rPr>
          <w:rFonts w:eastAsiaTheme="minorEastAsia"/>
        </w:rPr>
      </w:pPr>
      <w:r>
        <w:rPr>
          <w:rFonts w:eastAsiaTheme="minorEastAsia"/>
        </w:rPr>
        <w:t xml:space="preserve">In RAN2#129bis meeting, agreements related to </w:t>
      </w:r>
      <w:r w:rsidR="002B10D3">
        <w:rPr>
          <w:rFonts w:eastAsiaTheme="minorEastAsia"/>
        </w:rPr>
        <w:t>performance monitoring</w:t>
      </w:r>
      <w:r>
        <w:rPr>
          <w:rFonts w:eastAsiaTheme="minorEastAsia"/>
        </w:rPr>
        <w:t xml:space="preserve"> were reached as follow</w:t>
      </w:r>
      <w:r w:rsidR="0030117F">
        <w:rPr>
          <w:rFonts w:eastAsiaTheme="minorEastAsia"/>
        </w:rPr>
        <w:t>:</w:t>
      </w:r>
    </w:p>
    <w:tbl>
      <w:tblPr>
        <w:tblStyle w:val="TableGrid"/>
        <w:tblW w:w="0" w:type="auto"/>
        <w:tblLook w:val="04A0" w:firstRow="1" w:lastRow="0" w:firstColumn="1" w:lastColumn="0" w:noHBand="0" w:noVBand="1"/>
      </w:tblPr>
      <w:tblGrid>
        <w:gridCol w:w="9629"/>
      </w:tblGrid>
      <w:tr w:rsidR="0030117F" w14:paraId="56E5A00E" w14:textId="77777777" w:rsidTr="00F027E9">
        <w:tc>
          <w:tcPr>
            <w:tcW w:w="9629" w:type="dxa"/>
          </w:tcPr>
          <w:p w14:paraId="323A8E96" w14:textId="77777777" w:rsidR="002B10D3" w:rsidRPr="002B10D3" w:rsidRDefault="002B10D3" w:rsidP="002B10D3">
            <w:pPr>
              <w:tabs>
                <w:tab w:val="left" w:pos="1622"/>
              </w:tabs>
              <w:overflowPunct/>
              <w:autoSpaceDE/>
              <w:autoSpaceDN/>
              <w:adjustRightInd/>
              <w:spacing w:after="0"/>
              <w:ind w:left="363" w:hanging="363"/>
              <w:textAlignment w:val="auto"/>
              <w:rPr>
                <w:rFonts w:eastAsia="MS Mincho"/>
                <w:szCs w:val="24"/>
                <w:lang w:eastAsia="en-GB"/>
              </w:rPr>
            </w:pPr>
            <w:bookmarkStart w:id="1" w:name="_Hlk196919751"/>
            <w:r w:rsidRPr="002B10D3">
              <w:rPr>
                <w:rFonts w:eastAsia="MS Mincho"/>
                <w:szCs w:val="24"/>
                <w:lang w:eastAsia="en-GB"/>
              </w:rPr>
              <w:t xml:space="preserve">For UE sided model, the performance monitoring considered in AIML air interface can be studied as a baseline for AIML aided mobility, i.e. NW-side and UE-sided performance monitoring.  </w:t>
            </w:r>
          </w:p>
          <w:p w14:paraId="0B7CD8CD" w14:textId="77777777" w:rsidR="002B10D3" w:rsidRPr="002B10D3" w:rsidRDefault="002B10D3" w:rsidP="002B10D3">
            <w:pPr>
              <w:tabs>
                <w:tab w:val="left" w:pos="1622"/>
              </w:tabs>
              <w:overflowPunct/>
              <w:autoSpaceDE/>
              <w:autoSpaceDN/>
              <w:adjustRightInd/>
              <w:spacing w:after="0"/>
              <w:ind w:left="363" w:hanging="363"/>
              <w:textAlignment w:val="auto"/>
              <w:rPr>
                <w:rFonts w:eastAsia="MS Mincho"/>
                <w:szCs w:val="24"/>
                <w:lang w:eastAsia="en-GB"/>
              </w:rPr>
            </w:pPr>
            <w:r w:rsidRPr="002B10D3">
              <w:rPr>
                <w:rFonts w:eastAsia="MS Mincho"/>
                <w:szCs w:val="24"/>
                <w:lang w:eastAsia="en-GB"/>
              </w:rPr>
              <w:tab/>
              <w:t>FFS metrics per use case</w:t>
            </w:r>
          </w:p>
          <w:p w14:paraId="3B26B474" w14:textId="412B391B" w:rsidR="008C11CB" w:rsidRPr="003371AE" w:rsidRDefault="008C11CB" w:rsidP="003371AE">
            <w:pPr>
              <w:widowControl w:val="0"/>
              <w:overflowPunct/>
              <w:autoSpaceDE/>
              <w:autoSpaceDN/>
              <w:adjustRightInd/>
              <w:spacing w:after="0"/>
              <w:jc w:val="both"/>
              <w:textAlignment w:val="auto"/>
              <w:rPr>
                <w:rFonts w:eastAsiaTheme="minorEastAsia"/>
              </w:rPr>
            </w:pPr>
          </w:p>
        </w:tc>
      </w:tr>
      <w:bookmarkEnd w:id="1"/>
    </w:tbl>
    <w:p w14:paraId="183B0310" w14:textId="77777777" w:rsidR="008A217B" w:rsidRDefault="008A217B" w:rsidP="002315EB">
      <w:pPr>
        <w:rPr>
          <w:rFonts w:eastAsiaTheme="minorEastAsia"/>
        </w:rPr>
      </w:pPr>
    </w:p>
    <w:p w14:paraId="21A0A0CC" w14:textId="2F0F9498" w:rsidR="0030117F" w:rsidRPr="0030117F" w:rsidRDefault="0030117F" w:rsidP="002315EB">
      <w:pPr>
        <w:rPr>
          <w:rFonts w:eastAsiaTheme="minorEastAsia"/>
        </w:rPr>
      </w:pPr>
      <w:r>
        <w:rPr>
          <w:rFonts w:eastAsiaTheme="minorEastAsia"/>
        </w:rPr>
        <w:t xml:space="preserve">In this </w:t>
      </w:r>
      <w:proofErr w:type="spellStart"/>
      <w:r>
        <w:rPr>
          <w:rFonts w:eastAsiaTheme="minorEastAsia"/>
        </w:rPr>
        <w:t>Tdoc</w:t>
      </w:r>
      <w:proofErr w:type="spellEnd"/>
      <w:r>
        <w:rPr>
          <w:rFonts w:eastAsiaTheme="minorEastAsia"/>
        </w:rPr>
        <w:t>, we provide our views on</w:t>
      </w:r>
      <w:r w:rsidR="005D779F">
        <w:rPr>
          <w:rFonts w:eastAsiaTheme="minorEastAsia"/>
        </w:rPr>
        <w:t xml:space="preserve"> performance monitoring, including metric for each use case and performance </w:t>
      </w:r>
      <w:r w:rsidR="003F4315">
        <w:rPr>
          <w:rFonts w:eastAsiaTheme="minorEastAsia"/>
        </w:rPr>
        <w:t xml:space="preserve">monitoring mechanism </w:t>
      </w:r>
      <w:r w:rsidR="005D779F">
        <w:rPr>
          <w:rFonts w:eastAsiaTheme="minorEastAsia"/>
        </w:rPr>
        <w:t>options.</w:t>
      </w:r>
    </w:p>
    <w:p w14:paraId="28A63E0F" w14:textId="53A5DC80" w:rsidR="004533F4" w:rsidRPr="0060578E" w:rsidRDefault="00827357" w:rsidP="00686950">
      <w:pPr>
        <w:pStyle w:val="Heading1"/>
      </w:pPr>
      <w:r w:rsidRPr="0060578E">
        <w:t xml:space="preserve">2   </w:t>
      </w:r>
      <w:r w:rsidR="00E50F6B">
        <w:t>Discussion</w:t>
      </w:r>
    </w:p>
    <w:p w14:paraId="62B11139" w14:textId="10801A4E" w:rsidR="00710286" w:rsidRDefault="00710286" w:rsidP="00710286">
      <w:pPr>
        <w:pStyle w:val="Heading2"/>
        <w:rPr>
          <w:rFonts w:eastAsiaTheme="minorEastAsia"/>
          <w:sz w:val="28"/>
          <w:szCs w:val="22"/>
        </w:rPr>
      </w:pPr>
      <w:r w:rsidRPr="0060578E">
        <w:rPr>
          <w:rFonts w:eastAsiaTheme="minorEastAsia"/>
          <w:sz w:val="28"/>
          <w:szCs w:val="22"/>
        </w:rPr>
        <w:t>2.</w:t>
      </w:r>
      <w:r>
        <w:rPr>
          <w:rFonts w:eastAsiaTheme="minorEastAsia"/>
          <w:sz w:val="28"/>
          <w:szCs w:val="22"/>
        </w:rPr>
        <w:t>1</w:t>
      </w:r>
      <w:r w:rsidRPr="0060578E">
        <w:rPr>
          <w:rFonts w:eastAsiaTheme="minorEastAsia"/>
          <w:sz w:val="28"/>
          <w:szCs w:val="22"/>
        </w:rPr>
        <w:t xml:space="preserve"> </w:t>
      </w:r>
      <w:r>
        <w:rPr>
          <w:rFonts w:eastAsiaTheme="minorEastAsia"/>
          <w:sz w:val="28"/>
          <w:szCs w:val="22"/>
        </w:rPr>
        <w:t xml:space="preserve">Performance monitoring </w:t>
      </w:r>
      <w:r w:rsidR="00B2050D">
        <w:rPr>
          <w:rFonts w:eastAsiaTheme="minorEastAsia"/>
          <w:sz w:val="28"/>
          <w:szCs w:val="22"/>
        </w:rPr>
        <w:t>procedure</w:t>
      </w:r>
    </w:p>
    <w:p w14:paraId="3DEE9B10" w14:textId="77777777" w:rsidR="00710286" w:rsidRDefault="00710286" w:rsidP="00710286">
      <w:pPr>
        <w:spacing w:after="120"/>
        <w:ind w:rightChars="100" w:right="200"/>
        <w:jc w:val="both"/>
        <w:rPr>
          <w:rFonts w:eastAsiaTheme="minorEastAsia"/>
        </w:rPr>
      </w:pPr>
      <w:r>
        <w:rPr>
          <w:rFonts w:eastAsiaTheme="minorEastAsia"/>
        </w:rPr>
        <w:t xml:space="preserve">For </w:t>
      </w:r>
      <w:r>
        <w:rPr>
          <w:rFonts w:eastAsiaTheme="minorEastAsia" w:hint="eastAsia"/>
        </w:rPr>
        <w:t>BM</w:t>
      </w:r>
      <w:r>
        <w:rPr>
          <w:rFonts w:eastAsiaTheme="minorEastAsia"/>
        </w:rPr>
        <w:t xml:space="preserve"> use case, RAN1 initially considered the following options for prediction performance monitoring:</w:t>
      </w:r>
    </w:p>
    <w:p w14:paraId="05BF891C" w14:textId="77777777" w:rsidR="00710286" w:rsidRDefault="00710286" w:rsidP="00710286">
      <w:pPr>
        <w:pStyle w:val="CommentText"/>
        <w:numPr>
          <w:ilvl w:val="0"/>
          <w:numId w:val="30"/>
        </w:numPr>
      </w:pPr>
      <w:r>
        <w:t>NW based performance monitoring (i.e. metrics calculated at NW side based on the measurement from UE)</w:t>
      </w:r>
    </w:p>
    <w:p w14:paraId="1FFBB7EA" w14:textId="77777777" w:rsidR="00710286" w:rsidRDefault="00710286" w:rsidP="00710286">
      <w:pPr>
        <w:pStyle w:val="CommentText"/>
        <w:numPr>
          <w:ilvl w:val="0"/>
          <w:numId w:val="30"/>
        </w:numPr>
      </w:pPr>
      <w:r>
        <w:t>UE assisted performance monitoring (i.e. metrics calculated at UE side and reported to NW for functionality management)</w:t>
      </w:r>
    </w:p>
    <w:p w14:paraId="16CB3D17" w14:textId="77777777" w:rsidR="00710286" w:rsidRDefault="00710286" w:rsidP="00710286">
      <w:pPr>
        <w:pStyle w:val="CommentText"/>
        <w:numPr>
          <w:ilvl w:val="0"/>
          <w:numId w:val="30"/>
        </w:numPr>
        <w:rPr>
          <w:rFonts w:eastAsiaTheme="minorEastAsia"/>
        </w:rPr>
      </w:pPr>
      <w:r>
        <w:t>UE based performance monitoring (i.e. metrics calculated at UE side and functionality management is also done in UE)</w:t>
      </w:r>
    </w:p>
    <w:p w14:paraId="49FEB4BB" w14:textId="1B3008F4" w:rsidR="00710286" w:rsidRPr="00585344" w:rsidRDefault="00710286" w:rsidP="00710286">
      <w:pPr>
        <w:spacing w:after="120"/>
        <w:ind w:rightChars="100" w:right="200"/>
        <w:jc w:val="both"/>
        <w:rPr>
          <w:rFonts w:eastAsiaTheme="minorEastAsia"/>
          <w:b/>
          <w:lang w:val="en-US"/>
        </w:rPr>
      </w:pPr>
      <w:r>
        <w:rPr>
          <w:rFonts w:eastAsiaTheme="minorEastAsia"/>
        </w:rPr>
        <w:t xml:space="preserve">Further in the WI phase discussions, RAN1 decided to exclude an option were the UE performs functionality management decisions and only NW based and UE assisted performance monitoring are being specified for BM use case. Even though UE based performance monitoring was excluded for BM use case by RAN1, some companies wanted to consider it for AIML based mobility. Eventually, in RAN2#129bis, RAN2 agreed that both NW-side and UE-sided performance monitoring can be further studied. </w:t>
      </w:r>
    </w:p>
    <w:p w14:paraId="4B685288" w14:textId="13B2CFE7" w:rsidR="00710286" w:rsidRDefault="00710286" w:rsidP="00710286">
      <w:pPr>
        <w:spacing w:after="120"/>
        <w:ind w:rightChars="100" w:right="200"/>
        <w:jc w:val="both"/>
        <w:rPr>
          <w:rFonts w:eastAsiaTheme="minorEastAsia"/>
        </w:rPr>
      </w:pPr>
      <w:r>
        <w:rPr>
          <w:rFonts w:eastAsiaTheme="minorEastAsia"/>
        </w:rPr>
        <w:t xml:space="preserve">However, we would like to note that, for some use cases, </w:t>
      </w:r>
      <w:r w:rsidR="00D261BB">
        <w:rPr>
          <w:rFonts w:eastAsiaTheme="minorEastAsia"/>
        </w:rPr>
        <w:t xml:space="preserve">it is not feasible to allow the </w:t>
      </w:r>
      <w:r>
        <w:rPr>
          <w:rFonts w:eastAsiaTheme="minorEastAsia"/>
        </w:rPr>
        <w:t>UE to make functionality management decisions by itself. Taking an example, one of the purpose</w:t>
      </w:r>
      <w:r w:rsidR="00D261BB">
        <w:rPr>
          <w:rFonts w:eastAsiaTheme="minorEastAsia"/>
        </w:rPr>
        <w:t>s</w:t>
      </w:r>
      <w:r>
        <w:rPr>
          <w:rFonts w:eastAsiaTheme="minorEastAsia"/>
        </w:rPr>
        <w:t xml:space="preserve"> of temporal domain case B prediction is to allow RS overhead reduction at the network side. If some </w:t>
      </w:r>
      <w:proofErr w:type="gramStart"/>
      <w:r>
        <w:rPr>
          <w:rFonts w:eastAsiaTheme="minorEastAsia"/>
        </w:rPr>
        <w:t>RS(</w:t>
      </w:r>
      <w:proofErr w:type="gramEnd"/>
      <w:r>
        <w:rPr>
          <w:rFonts w:eastAsiaTheme="minorEastAsia"/>
        </w:rPr>
        <w:t xml:space="preserve">es) are turned off at </w:t>
      </w:r>
      <w:r w:rsidR="00D261BB">
        <w:rPr>
          <w:rFonts w:eastAsiaTheme="minorEastAsia"/>
        </w:rPr>
        <w:t xml:space="preserve">the </w:t>
      </w:r>
      <w:r>
        <w:rPr>
          <w:rFonts w:eastAsiaTheme="minorEastAsia"/>
        </w:rPr>
        <w:t xml:space="preserve">NW side for saving RS resources, the UE cannot simply switch to non-AIML based measurements as the network needs to turn on the required signals first. The same problem exists for spatial domain prediction where some </w:t>
      </w:r>
      <w:proofErr w:type="gramStart"/>
      <w:r>
        <w:rPr>
          <w:rFonts w:eastAsiaTheme="minorEastAsia"/>
        </w:rPr>
        <w:t>RS(</w:t>
      </w:r>
      <w:proofErr w:type="gramEnd"/>
      <w:r>
        <w:rPr>
          <w:rFonts w:eastAsiaTheme="minorEastAsia"/>
        </w:rPr>
        <w:t xml:space="preserve">es) may be turned off. In case of </w:t>
      </w:r>
      <w:r w:rsidR="00D261BB">
        <w:rPr>
          <w:rFonts w:eastAsiaTheme="minorEastAsia"/>
        </w:rPr>
        <w:t>inter-</w:t>
      </w:r>
      <w:r>
        <w:rPr>
          <w:rFonts w:eastAsiaTheme="minorEastAsia"/>
        </w:rPr>
        <w:t xml:space="preserve">frequency </w:t>
      </w:r>
      <w:r w:rsidR="00D261BB">
        <w:rPr>
          <w:rFonts w:eastAsiaTheme="minorEastAsia"/>
        </w:rPr>
        <w:t xml:space="preserve">measurements </w:t>
      </w:r>
      <w:r>
        <w:rPr>
          <w:rFonts w:eastAsiaTheme="minorEastAsia"/>
        </w:rPr>
        <w:t>on the other hand, the UE needs to be configured with measurement gaps which need to be provided by the network</w:t>
      </w:r>
      <w:r w:rsidR="00D261BB">
        <w:rPr>
          <w:rFonts w:eastAsiaTheme="minorEastAsia"/>
        </w:rPr>
        <w:t>, as they are not required for frequency domain prediction</w:t>
      </w:r>
      <w:r>
        <w:rPr>
          <w:rFonts w:eastAsiaTheme="minorEastAsia"/>
        </w:rPr>
        <w:t>. Hence, in these cases it is not possible to apply UE based performance monitoring.</w:t>
      </w:r>
    </w:p>
    <w:p w14:paraId="7C331B1F" w14:textId="14A1BD62" w:rsidR="00710286" w:rsidRDefault="00710286" w:rsidP="00710286">
      <w:pPr>
        <w:spacing w:after="120"/>
        <w:ind w:rightChars="100" w:right="200"/>
        <w:jc w:val="both"/>
        <w:rPr>
          <w:rFonts w:eastAsiaTheme="minorEastAsia"/>
          <w:b/>
          <w:lang w:val="en-US"/>
        </w:rPr>
      </w:pPr>
      <w:bookmarkStart w:id="2" w:name="_Hlk196915790"/>
      <w:r>
        <w:rPr>
          <w:rFonts w:eastAsiaTheme="minorEastAsia"/>
          <w:b/>
          <w:lang w:val="en-US"/>
        </w:rPr>
        <w:t xml:space="preserve">Observation 1: In case of temporal domain case B or spatial domain prediction, some </w:t>
      </w:r>
      <w:proofErr w:type="gramStart"/>
      <w:r>
        <w:rPr>
          <w:rFonts w:eastAsiaTheme="minorEastAsia"/>
          <w:b/>
          <w:lang w:val="en-US"/>
        </w:rPr>
        <w:t>R</w:t>
      </w:r>
      <w:r>
        <w:rPr>
          <w:rFonts w:eastAsiaTheme="minorEastAsia" w:hint="eastAsia"/>
          <w:b/>
          <w:lang w:val="en-US"/>
        </w:rPr>
        <w:t>S(</w:t>
      </w:r>
      <w:proofErr w:type="gramEnd"/>
      <w:r>
        <w:rPr>
          <w:rFonts w:eastAsiaTheme="minorEastAsia"/>
          <w:b/>
          <w:lang w:val="en-US"/>
        </w:rPr>
        <w:t xml:space="preserve">es) may be turned off </w:t>
      </w:r>
      <w:r>
        <w:rPr>
          <w:rFonts w:eastAsiaTheme="minorEastAsia" w:hint="eastAsia"/>
          <w:b/>
          <w:lang w:val="en-US"/>
        </w:rPr>
        <w:t>at</w:t>
      </w:r>
      <w:r>
        <w:rPr>
          <w:rFonts w:eastAsiaTheme="minorEastAsia"/>
          <w:b/>
          <w:lang w:val="en-US"/>
        </w:rPr>
        <w:t xml:space="preserve"> NW side in case the UE performs prediction for certain RS(es) or time instances.</w:t>
      </w:r>
    </w:p>
    <w:bookmarkEnd w:id="2"/>
    <w:p w14:paraId="4FA46DCB" w14:textId="23D0A637" w:rsidR="00710286" w:rsidRDefault="00710286" w:rsidP="00710286">
      <w:pPr>
        <w:spacing w:after="120"/>
        <w:ind w:rightChars="100" w:right="200"/>
        <w:jc w:val="both"/>
        <w:rPr>
          <w:rFonts w:eastAsiaTheme="minorEastAsia"/>
          <w:b/>
          <w:lang w:val="en-US"/>
        </w:rPr>
      </w:pPr>
      <w:r>
        <w:rPr>
          <w:rFonts w:eastAsiaTheme="minorEastAsia"/>
          <w:b/>
          <w:lang w:val="en-US"/>
        </w:rPr>
        <w:t>Observation 2: In case of frequency domain prediction, the UE is not using measurement gaps to predict another frequency RSRP.</w:t>
      </w:r>
    </w:p>
    <w:p w14:paraId="7214F68F" w14:textId="77777777" w:rsidR="00710286" w:rsidRDefault="00710286" w:rsidP="00710286">
      <w:pPr>
        <w:spacing w:after="120"/>
        <w:ind w:rightChars="100" w:right="200"/>
        <w:jc w:val="both"/>
        <w:rPr>
          <w:rFonts w:eastAsiaTheme="minorEastAsia"/>
          <w:lang w:val="en-US"/>
        </w:rPr>
      </w:pPr>
      <w:r>
        <w:rPr>
          <w:rFonts w:eastAsiaTheme="minorEastAsia"/>
          <w:lang w:val="en-US"/>
        </w:rPr>
        <w:lastRenderedPageBreak/>
        <w:t>Based on the above, we can see that for majority of use cases UE based performance monitoring where the UE is allowed to make functionality management decisions by itself is infeasible. We then propose the following:</w:t>
      </w:r>
    </w:p>
    <w:p w14:paraId="2943C8C8" w14:textId="21F1B071" w:rsidR="00710286" w:rsidRDefault="00710286" w:rsidP="00710286">
      <w:pPr>
        <w:spacing w:after="120"/>
        <w:ind w:rightChars="100" w:right="200"/>
        <w:jc w:val="both"/>
        <w:rPr>
          <w:rFonts w:eastAsiaTheme="minorEastAsia"/>
          <w:b/>
          <w:lang w:val="en-US"/>
        </w:rPr>
      </w:pPr>
      <w:r>
        <w:rPr>
          <w:rFonts w:eastAsiaTheme="minorEastAsia"/>
          <w:b/>
          <w:lang w:val="en-US"/>
        </w:rPr>
        <w:t>Proposal 1: As a baseline, functionality management decisions based on performance monitoring are made at the network side. Metrics calculation at both network side and UE side should be supported</w:t>
      </w:r>
      <w:r w:rsidR="003A7734">
        <w:rPr>
          <w:rFonts w:eastAsiaTheme="minorEastAsia"/>
          <w:b/>
          <w:lang w:val="en-US"/>
        </w:rPr>
        <w:t xml:space="preserve"> (as for BM use case)</w:t>
      </w:r>
      <w:r>
        <w:rPr>
          <w:rFonts w:eastAsiaTheme="minorEastAsia"/>
          <w:b/>
          <w:lang w:val="en-US"/>
        </w:rPr>
        <w:t>.</w:t>
      </w:r>
    </w:p>
    <w:p w14:paraId="287A6BD0" w14:textId="77777777" w:rsidR="00710286" w:rsidRPr="00D34276" w:rsidRDefault="00710286" w:rsidP="00710286">
      <w:pPr>
        <w:spacing w:after="120"/>
        <w:ind w:rightChars="100" w:right="200"/>
        <w:jc w:val="both"/>
        <w:rPr>
          <w:rFonts w:eastAsiaTheme="minorEastAsia"/>
          <w:lang w:val="en-US"/>
        </w:rPr>
      </w:pPr>
      <w:r>
        <w:rPr>
          <w:rFonts w:eastAsiaTheme="minorEastAsia" w:hint="eastAsia"/>
          <w:lang w:val="en-US"/>
        </w:rPr>
        <w:t>R</w:t>
      </w:r>
      <w:r>
        <w:rPr>
          <w:rFonts w:eastAsiaTheme="minorEastAsia"/>
          <w:lang w:val="en-US"/>
        </w:rPr>
        <w:t xml:space="preserve">egarding temporal domain case A prediction, </w:t>
      </w:r>
      <w:r>
        <w:rPr>
          <w:rFonts w:eastAsiaTheme="minorEastAsia" w:hint="eastAsia"/>
          <w:lang w:val="en-US"/>
        </w:rPr>
        <w:t>the</w:t>
      </w:r>
      <w:r>
        <w:rPr>
          <w:rFonts w:eastAsiaTheme="minorEastAsia"/>
          <w:lang w:val="en-US"/>
        </w:rPr>
        <w:t xml:space="preserve"> UE autonomous decision about whether to apply predicted results or actual measurements can be in theory supported as the </w:t>
      </w:r>
      <w:proofErr w:type="gramStart"/>
      <w:r>
        <w:rPr>
          <w:rFonts w:eastAsiaTheme="minorEastAsia"/>
          <w:lang w:val="en-US"/>
        </w:rPr>
        <w:t>RS(</w:t>
      </w:r>
      <w:proofErr w:type="gramEnd"/>
      <w:r>
        <w:rPr>
          <w:rFonts w:eastAsiaTheme="minorEastAsia"/>
          <w:lang w:val="en-US"/>
        </w:rPr>
        <w:t>es</w:t>
      </w:r>
      <w:r>
        <w:rPr>
          <w:rFonts w:eastAsiaTheme="minorEastAsia" w:hint="eastAsia"/>
          <w:lang w:val="en-US"/>
        </w:rPr>
        <w:t>)</w:t>
      </w:r>
      <w:r>
        <w:rPr>
          <w:rFonts w:eastAsiaTheme="minorEastAsia"/>
          <w:lang w:val="en-US"/>
        </w:rPr>
        <w:t xml:space="preserve"> </w:t>
      </w:r>
      <w:r>
        <w:rPr>
          <w:rFonts w:eastAsiaTheme="minorEastAsia" w:hint="eastAsia"/>
          <w:lang w:val="en-US"/>
        </w:rPr>
        <w:t>will</w:t>
      </w:r>
      <w:r>
        <w:rPr>
          <w:rFonts w:eastAsiaTheme="minorEastAsia"/>
          <w:lang w:val="en-US"/>
        </w:rPr>
        <w:t xml:space="preserve"> be transmitted continuously. </w:t>
      </w:r>
      <w:r>
        <w:rPr>
          <w:rFonts w:eastAsiaTheme="minorEastAsia"/>
        </w:rPr>
        <w:t xml:space="preserve">Furthermore, the HO is a delay sensitive procedure, so it may be actually better if the UE does not wait for the network to switch to the regular measurements in case prediction accuracy deteriorates. </w:t>
      </w:r>
    </w:p>
    <w:p w14:paraId="7B86C527" w14:textId="51326AA8" w:rsidR="00710286" w:rsidRDefault="00710286" w:rsidP="00710286">
      <w:pPr>
        <w:spacing w:after="120"/>
        <w:ind w:rightChars="100" w:right="200"/>
        <w:jc w:val="both"/>
        <w:rPr>
          <w:rFonts w:eastAsiaTheme="minorEastAsia"/>
          <w:b/>
          <w:lang w:val="en-US"/>
        </w:rPr>
      </w:pPr>
      <w:r>
        <w:rPr>
          <w:rFonts w:eastAsiaTheme="minorEastAsia"/>
          <w:b/>
          <w:lang w:val="en-US"/>
        </w:rPr>
        <w:t xml:space="preserve">Observation 3: For temporal domain Case A prediction, it is feasible for the UE to autonomously switch from predicted measurements to regular measurements as all required </w:t>
      </w:r>
      <w:proofErr w:type="gramStart"/>
      <w:r>
        <w:rPr>
          <w:rFonts w:eastAsiaTheme="minorEastAsia"/>
          <w:b/>
          <w:lang w:val="en-US"/>
        </w:rPr>
        <w:t>RS(</w:t>
      </w:r>
      <w:proofErr w:type="gramEnd"/>
      <w:r>
        <w:rPr>
          <w:rFonts w:eastAsiaTheme="minorEastAsia"/>
          <w:b/>
          <w:lang w:val="en-US"/>
        </w:rPr>
        <w:t xml:space="preserve">es) are continuously provided by the network. </w:t>
      </w:r>
    </w:p>
    <w:p w14:paraId="7C466B04" w14:textId="2A21770D" w:rsidR="00710286" w:rsidRDefault="00710286" w:rsidP="00710286">
      <w:pPr>
        <w:spacing w:after="120"/>
        <w:ind w:rightChars="100" w:right="200"/>
        <w:jc w:val="both"/>
        <w:rPr>
          <w:rFonts w:eastAsiaTheme="minorEastAsia"/>
          <w:b/>
          <w:lang w:val="en-US"/>
        </w:rPr>
      </w:pPr>
      <w:r>
        <w:rPr>
          <w:rFonts w:eastAsiaTheme="minorEastAsia"/>
          <w:b/>
          <w:lang w:val="en-US"/>
        </w:rPr>
        <w:t>Observation 4: The HO performance may deteriorate if the UE waits for the NW to switch from predicted measurements to regular measurements.</w:t>
      </w:r>
    </w:p>
    <w:p w14:paraId="3484706A" w14:textId="77777777" w:rsidR="00710286" w:rsidRDefault="00710286" w:rsidP="00710286">
      <w:pPr>
        <w:spacing w:after="120"/>
        <w:ind w:rightChars="100" w:right="200"/>
        <w:jc w:val="both"/>
        <w:rPr>
          <w:rFonts w:eastAsiaTheme="minorEastAsia"/>
        </w:rPr>
      </w:pPr>
      <w:r>
        <w:rPr>
          <w:rFonts w:eastAsiaTheme="minorEastAsia"/>
          <w:lang w:val="en-US"/>
        </w:rPr>
        <w:t xml:space="preserve">Based on these observations, we propose the following: </w:t>
      </w:r>
    </w:p>
    <w:p w14:paraId="57D96501" w14:textId="2F90A32A" w:rsidR="00710286" w:rsidRPr="00D34276" w:rsidRDefault="00710286" w:rsidP="00710286">
      <w:pPr>
        <w:spacing w:after="120"/>
        <w:ind w:rightChars="100" w:right="200"/>
        <w:jc w:val="both"/>
        <w:rPr>
          <w:rFonts w:eastAsiaTheme="minorEastAsia"/>
          <w:b/>
          <w:lang w:val="en-US"/>
        </w:rPr>
      </w:pPr>
      <w:r>
        <w:rPr>
          <w:rFonts w:eastAsiaTheme="minorEastAsia"/>
          <w:b/>
          <w:lang w:val="en-US"/>
        </w:rPr>
        <w:t>Proposal 2: RAN2 to discuss whether for temporal domain Case A prediction, UE can autonomously switch from predicted to regular measurements in case of prediction performance deterioration.</w:t>
      </w:r>
    </w:p>
    <w:p w14:paraId="06D7DA36" w14:textId="444C3B94" w:rsidR="00897A35" w:rsidRPr="00897A35" w:rsidRDefault="007F28E1" w:rsidP="00897A35">
      <w:pPr>
        <w:pStyle w:val="Heading2"/>
        <w:rPr>
          <w:rFonts w:eastAsiaTheme="minorEastAsia"/>
          <w:sz w:val="28"/>
          <w:szCs w:val="22"/>
        </w:rPr>
      </w:pPr>
      <w:r w:rsidRPr="0060578E">
        <w:rPr>
          <w:rFonts w:eastAsiaTheme="minorEastAsia"/>
          <w:sz w:val="28"/>
          <w:szCs w:val="22"/>
        </w:rPr>
        <w:t>2.</w:t>
      </w:r>
      <w:r w:rsidR="00710286">
        <w:rPr>
          <w:rFonts w:eastAsiaTheme="minorEastAsia"/>
          <w:sz w:val="28"/>
          <w:szCs w:val="22"/>
        </w:rPr>
        <w:t>2</w:t>
      </w:r>
      <w:r w:rsidRPr="0060578E">
        <w:rPr>
          <w:rFonts w:eastAsiaTheme="minorEastAsia"/>
          <w:sz w:val="28"/>
          <w:szCs w:val="22"/>
        </w:rPr>
        <w:t xml:space="preserve"> </w:t>
      </w:r>
      <w:r w:rsidR="00710286">
        <w:rPr>
          <w:rFonts w:eastAsiaTheme="minorEastAsia"/>
          <w:sz w:val="28"/>
          <w:szCs w:val="22"/>
        </w:rPr>
        <w:t>Performance m</w:t>
      </w:r>
      <w:r w:rsidR="005D779F">
        <w:rPr>
          <w:rFonts w:eastAsiaTheme="minorEastAsia"/>
          <w:sz w:val="28"/>
          <w:szCs w:val="22"/>
        </w:rPr>
        <w:t>etrics</w:t>
      </w:r>
    </w:p>
    <w:p w14:paraId="7309BA7B" w14:textId="54D8401F" w:rsidR="00B71153" w:rsidRDefault="005D779F" w:rsidP="00F165AC">
      <w:r>
        <w:t xml:space="preserve">For current scope of AI mobility in </w:t>
      </w:r>
      <w:r w:rsidRPr="005D779F">
        <w:t xml:space="preserve">Rel-19, </w:t>
      </w:r>
      <w:r>
        <w:t>use cases can be classified as follow</w:t>
      </w:r>
      <w:r w:rsidR="001B0A78">
        <w:t>s</w:t>
      </w:r>
      <w:r>
        <w:t>:</w:t>
      </w:r>
    </w:p>
    <w:p w14:paraId="1180780A" w14:textId="5F0BA43E" w:rsidR="00016FB9" w:rsidRDefault="005D779F" w:rsidP="00016FB9">
      <w:pPr>
        <w:pStyle w:val="ListParagraph"/>
        <w:numPr>
          <w:ilvl w:val="0"/>
          <w:numId w:val="22"/>
        </w:numPr>
        <w:ind w:leftChars="0"/>
        <w:rPr>
          <w:rFonts w:eastAsiaTheme="minorEastAsia"/>
        </w:rPr>
      </w:pPr>
      <w:r>
        <w:rPr>
          <w:rFonts w:eastAsiaTheme="minorEastAsia"/>
        </w:rPr>
        <w:t xml:space="preserve">RRM measurement prediction, including temporal domain, frequency domain and spatial domain </w:t>
      </w:r>
    </w:p>
    <w:p w14:paraId="0889D18E" w14:textId="35F0BD8F" w:rsidR="00016FB9" w:rsidRDefault="005D779F" w:rsidP="00016FB9">
      <w:pPr>
        <w:pStyle w:val="ListParagraph"/>
        <w:numPr>
          <w:ilvl w:val="0"/>
          <w:numId w:val="22"/>
        </w:numPr>
        <w:ind w:leftChars="0"/>
        <w:rPr>
          <w:rFonts w:eastAsiaTheme="minorEastAsia"/>
        </w:rPr>
      </w:pPr>
      <w:r>
        <w:rPr>
          <w:rFonts w:eastAsiaTheme="minorEastAsia"/>
        </w:rPr>
        <w:t>Indirect event prediction</w:t>
      </w:r>
    </w:p>
    <w:p w14:paraId="66844474" w14:textId="6B09D3B8" w:rsidR="00016FB9" w:rsidRPr="008E42DF" w:rsidRDefault="005D779F" w:rsidP="00016FB9">
      <w:pPr>
        <w:pStyle w:val="ListParagraph"/>
        <w:numPr>
          <w:ilvl w:val="0"/>
          <w:numId w:val="22"/>
        </w:numPr>
        <w:ind w:leftChars="0"/>
        <w:rPr>
          <w:rFonts w:eastAsiaTheme="minorEastAsia"/>
        </w:rPr>
      </w:pPr>
      <w:r>
        <w:rPr>
          <w:rFonts w:eastAsiaTheme="minorEastAsia"/>
        </w:rPr>
        <w:t>Direct event prediction</w:t>
      </w:r>
    </w:p>
    <w:p w14:paraId="7B430495" w14:textId="77777777" w:rsidR="00016FB9" w:rsidRPr="008A217B" w:rsidRDefault="00016FB9" w:rsidP="00016FB9">
      <w:pPr>
        <w:spacing w:after="0"/>
        <w:rPr>
          <w:rFonts w:eastAsiaTheme="minorEastAsia"/>
        </w:rPr>
      </w:pPr>
    </w:p>
    <w:p w14:paraId="5513BE4A" w14:textId="3AAC20C4" w:rsidR="00016FB9" w:rsidRDefault="005D779F" w:rsidP="00016FB9">
      <w:pPr>
        <w:spacing w:after="0"/>
      </w:pPr>
      <w:bookmarkStart w:id="3" w:name="_Hlk196924011"/>
      <w:r>
        <w:t xml:space="preserve">Generally, both RRM measurement prediction and indirect event prediction are related to RSRP prediction, thus it is straightforward to use RSRP difference </w:t>
      </w:r>
      <w:r w:rsidR="001B0A78">
        <w:t xml:space="preserve">or similar metric (e.g. RMSE) </w:t>
      </w:r>
      <w:r>
        <w:t xml:space="preserve">as the metric for performance monitoring </w:t>
      </w:r>
      <w:r w:rsidR="007669B3">
        <w:t>of RRM measurement prediction and indirect event prediction</w:t>
      </w:r>
      <w:r w:rsidR="00016FB9">
        <w:t xml:space="preserve">. </w:t>
      </w:r>
      <w:r w:rsidR="007669B3">
        <w:t xml:space="preserve">If the prediction is </w:t>
      </w:r>
      <w:r w:rsidR="00CF0066">
        <w:t xml:space="preserve">performed at a </w:t>
      </w:r>
      <w:r w:rsidR="007669B3">
        <w:t>cell-level, the metric should be cell level L3 RSRP difference</w:t>
      </w:r>
      <w:r w:rsidR="00CF0066">
        <w:t xml:space="preserve"> while for </w:t>
      </w:r>
      <w:r w:rsidR="007669B3">
        <w:t>beam-level</w:t>
      </w:r>
      <w:bookmarkEnd w:id="3"/>
      <w:r w:rsidR="00CF0066">
        <w:t xml:space="preserve"> prediction</w:t>
      </w:r>
      <w:r w:rsidR="007669B3">
        <w:t>, the metric should be beam level L3 RSRP difference. Furthermore, such metric can be used for both UE-side and NW-side monitoring.</w:t>
      </w:r>
    </w:p>
    <w:p w14:paraId="7C7776D8" w14:textId="048152BE" w:rsidR="00897A35" w:rsidRDefault="00016FB9" w:rsidP="00E80325">
      <w:pPr>
        <w:spacing w:before="240"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w:t>
      </w:r>
      <w:r w:rsidR="00710286">
        <w:rPr>
          <w:rFonts w:eastAsiaTheme="minorEastAsia"/>
          <w:b/>
          <w:lang w:val="en-US"/>
        </w:rPr>
        <w:t>3</w:t>
      </w:r>
      <w:r>
        <w:rPr>
          <w:rFonts w:eastAsiaTheme="minorEastAsia"/>
          <w:b/>
          <w:lang w:val="en-US"/>
        </w:rPr>
        <w:t xml:space="preserve">: </w:t>
      </w:r>
      <w:r w:rsidR="00626B90">
        <w:rPr>
          <w:rFonts w:eastAsiaTheme="minorEastAsia"/>
          <w:b/>
          <w:lang w:val="en-US"/>
        </w:rPr>
        <w:t xml:space="preserve">For RRM measurement prediction and </w:t>
      </w:r>
      <w:r w:rsidR="006A7294">
        <w:rPr>
          <w:rFonts w:eastAsiaTheme="minorEastAsia"/>
          <w:b/>
          <w:lang w:val="en-US"/>
        </w:rPr>
        <w:t xml:space="preserve">indirect </w:t>
      </w:r>
      <w:r w:rsidR="00626B90">
        <w:rPr>
          <w:rFonts w:eastAsiaTheme="minorEastAsia"/>
          <w:b/>
          <w:lang w:val="en-US"/>
        </w:rPr>
        <w:t>event prediction, RS</w:t>
      </w:r>
      <w:r w:rsidR="00626B90">
        <w:rPr>
          <w:rFonts w:eastAsiaTheme="minorEastAsia" w:hint="eastAsia"/>
          <w:b/>
          <w:lang w:val="en-US"/>
        </w:rPr>
        <w:t>RP</w:t>
      </w:r>
      <w:r w:rsidR="00626B90">
        <w:rPr>
          <w:rFonts w:eastAsiaTheme="minorEastAsia"/>
          <w:b/>
          <w:lang w:val="en-US"/>
        </w:rPr>
        <w:t xml:space="preserve"> differen</w:t>
      </w:r>
      <w:r w:rsidR="00C93B90">
        <w:rPr>
          <w:rFonts w:eastAsiaTheme="minorEastAsia"/>
          <w:b/>
          <w:lang w:val="en-US"/>
        </w:rPr>
        <w:t>ce</w:t>
      </w:r>
      <w:r w:rsidR="00626B90">
        <w:rPr>
          <w:rFonts w:eastAsiaTheme="minorEastAsia"/>
          <w:b/>
          <w:lang w:val="en-US"/>
        </w:rPr>
        <w:t xml:space="preserve"> </w:t>
      </w:r>
      <w:r w:rsidR="006A7294">
        <w:rPr>
          <w:rFonts w:eastAsiaTheme="minorEastAsia"/>
          <w:b/>
          <w:lang w:val="en-US"/>
        </w:rPr>
        <w:t xml:space="preserve">or similar metric (e.g. RMSE) </w:t>
      </w:r>
      <w:r w:rsidR="00626B90">
        <w:rPr>
          <w:rFonts w:eastAsiaTheme="minorEastAsia"/>
          <w:b/>
          <w:lang w:val="en-US"/>
        </w:rPr>
        <w:t xml:space="preserve">should be used as the metric </w:t>
      </w:r>
      <w:r w:rsidR="006A7294">
        <w:rPr>
          <w:rFonts w:eastAsiaTheme="minorEastAsia"/>
          <w:b/>
          <w:lang w:val="en-US"/>
        </w:rPr>
        <w:t xml:space="preserve">for </w:t>
      </w:r>
      <w:r w:rsidR="00626B90">
        <w:rPr>
          <w:rFonts w:eastAsiaTheme="minorEastAsia"/>
          <w:b/>
          <w:lang w:val="en-US"/>
        </w:rPr>
        <w:t>performance monitoring</w:t>
      </w:r>
      <w:r w:rsidR="006A7294">
        <w:rPr>
          <w:rFonts w:eastAsiaTheme="minorEastAsia"/>
          <w:b/>
          <w:lang w:val="en-US"/>
        </w:rPr>
        <w:t xml:space="preserve"> for both cell-level and beam level measurement predictions. The details of the metric </w:t>
      </w:r>
      <w:r w:rsidR="00A95AB6">
        <w:rPr>
          <w:rFonts w:eastAsiaTheme="minorEastAsia"/>
          <w:b/>
          <w:lang w:val="en-US"/>
        </w:rPr>
        <w:t xml:space="preserve">should </w:t>
      </w:r>
      <w:r w:rsidR="006A7294">
        <w:rPr>
          <w:rFonts w:eastAsiaTheme="minorEastAsia"/>
          <w:b/>
          <w:lang w:val="en-US"/>
        </w:rPr>
        <w:t>be defined by RAN4.</w:t>
      </w:r>
    </w:p>
    <w:p w14:paraId="08C9D847" w14:textId="6E3BF4D5" w:rsidR="00540946" w:rsidRDefault="00526F93" w:rsidP="00540946">
      <w:pPr>
        <w:spacing w:after="120"/>
        <w:ind w:rightChars="100" w:right="200"/>
        <w:jc w:val="both"/>
      </w:pPr>
      <w:r>
        <w:t>During the simulation work</w:t>
      </w:r>
      <w:r w:rsidR="006B3806">
        <w:t xml:space="preserve"> for event prediction use case</w:t>
      </w:r>
      <w:r>
        <w:t xml:space="preserve">, RAN2 </w:t>
      </w:r>
      <w:proofErr w:type="spellStart"/>
      <w:r>
        <w:t>analyzed</w:t>
      </w:r>
      <w:proofErr w:type="spellEnd"/>
      <w:r>
        <w:t xml:space="preserve"> </w:t>
      </w:r>
      <w:r w:rsidR="00540946">
        <w:t>other metric</w:t>
      </w:r>
      <w:r w:rsidR="00540946" w:rsidRPr="00540946">
        <w:rPr>
          <w:rFonts w:hint="eastAsia"/>
        </w:rPr>
        <w:t>s</w:t>
      </w:r>
      <w:r>
        <w:t xml:space="preserve"> as well</w:t>
      </w:r>
      <w:r w:rsidR="00540946">
        <w:t xml:space="preserve">, i.e., F1 score and </w:t>
      </w:r>
      <w:r w:rsidR="00162A82">
        <w:t>system</w:t>
      </w:r>
      <w:r w:rsidR="00540946">
        <w:t xml:space="preserve"> level KPIs. </w:t>
      </w:r>
      <w:r w:rsidR="006B3806">
        <w:t>However, t</w:t>
      </w:r>
      <w:r w:rsidR="00540946">
        <w:t>hese metrics are not available in real time</w:t>
      </w:r>
      <w:r w:rsidR="006B3806">
        <w:t xml:space="preserve"> and by nature they</w:t>
      </w:r>
      <w:r w:rsidR="00540946">
        <w:t xml:space="preserve"> need to be calculated </w:t>
      </w:r>
      <w:r w:rsidR="006B3806">
        <w:t xml:space="preserve">over a </w:t>
      </w:r>
      <w:r w:rsidR="00540946">
        <w:t xml:space="preserve">long </w:t>
      </w:r>
      <w:r w:rsidR="006B3806">
        <w:t xml:space="preserve">period of </w:t>
      </w:r>
      <w:r w:rsidR="00540946">
        <w:t xml:space="preserve">time. Taking an example, the F1 score calculation should be performed </w:t>
      </w:r>
      <w:r w:rsidR="00162A82">
        <w:t xml:space="preserve">using </w:t>
      </w:r>
      <w:r w:rsidR="00540946">
        <w:t xml:space="preserve">at least several </w:t>
      </w:r>
      <w:r w:rsidR="00E80325">
        <w:t xml:space="preserve">instances </w:t>
      </w:r>
      <w:r w:rsidR="00540946">
        <w:t xml:space="preserve">of </w:t>
      </w:r>
      <w:r w:rsidR="00E80325">
        <w:t xml:space="preserve">predicted </w:t>
      </w:r>
      <w:r w:rsidR="00540946">
        <w:t xml:space="preserve">measurement event, and the </w:t>
      </w:r>
      <w:r w:rsidR="00162A82">
        <w:t>system</w:t>
      </w:r>
      <w:r w:rsidR="00540946">
        <w:t xml:space="preserve"> level KPIs calculation should be performed at least </w:t>
      </w:r>
      <w:r w:rsidR="00162A82">
        <w:t>over</w:t>
      </w:r>
      <w:r w:rsidR="00540946">
        <w:t xml:space="preserve"> several HO executions</w:t>
      </w:r>
      <w:r w:rsidR="00162A82">
        <w:t xml:space="preserve"> (and ideally it should be dozens of events/HOs)</w:t>
      </w:r>
      <w:r w:rsidR="00540946">
        <w:t xml:space="preserve">. Therefore, if such metrics </w:t>
      </w:r>
      <w:r w:rsidR="00162A82">
        <w:t xml:space="preserve">were </w:t>
      </w:r>
      <w:r w:rsidR="00540946">
        <w:t xml:space="preserve">used alone, i.e., without RSRP difference metric, the UE or the NW may still perform prediction </w:t>
      </w:r>
      <w:r w:rsidR="00162A82">
        <w:t xml:space="preserve">for a very long time before realizing that </w:t>
      </w:r>
      <w:r w:rsidR="00540946">
        <w:t xml:space="preserve">the prediction accuracy </w:t>
      </w:r>
      <w:r w:rsidR="00162A82">
        <w:t>is actually unacceptable</w:t>
      </w:r>
      <w:r w:rsidR="00540946">
        <w:t>.</w:t>
      </w:r>
      <w:r w:rsidR="00320076">
        <w:t xml:space="preserve"> </w:t>
      </w:r>
      <w:r w:rsidR="00162A82">
        <w:t xml:space="preserve">Furthermore, it does not seem feasible for </w:t>
      </w:r>
      <w:r w:rsidR="00320076">
        <w:t xml:space="preserve">F1 score and </w:t>
      </w:r>
      <w:r w:rsidR="00162A82">
        <w:t xml:space="preserve">system </w:t>
      </w:r>
      <w:r w:rsidR="00320076">
        <w:t xml:space="preserve">level </w:t>
      </w:r>
      <w:r w:rsidR="00E52BC8">
        <w:t xml:space="preserve">KPIs </w:t>
      </w:r>
      <w:r w:rsidR="00DD270D">
        <w:t xml:space="preserve">to be calculated at the UE side. </w:t>
      </w:r>
      <w:proofErr w:type="gramStart"/>
      <w:r w:rsidR="00DD270D">
        <w:t>Similarly</w:t>
      </w:r>
      <w:proofErr w:type="gramEnd"/>
      <w:r w:rsidR="00DD270D">
        <w:t xml:space="preserve"> as today, system KPIs such as HOF rate can be monitored by the network, e.g. in order to determine a long-term effect of using predictions on the system performance. </w:t>
      </w:r>
    </w:p>
    <w:p w14:paraId="1D89A1D3" w14:textId="55233DEF" w:rsidR="006D2823" w:rsidRDefault="00494340" w:rsidP="00540946">
      <w:pPr>
        <w:spacing w:after="120"/>
        <w:ind w:rightChars="100" w:right="200"/>
        <w:jc w:val="both"/>
        <w:rPr>
          <w:rFonts w:eastAsiaTheme="minorEastAsia"/>
          <w:b/>
          <w:lang w:val="en-US"/>
        </w:rPr>
      </w:pPr>
      <w:r>
        <w:rPr>
          <w:b/>
        </w:rPr>
        <w:t xml:space="preserve">Observation </w:t>
      </w:r>
      <w:r w:rsidR="00710286">
        <w:rPr>
          <w:b/>
        </w:rPr>
        <w:t>5</w:t>
      </w:r>
      <w:r>
        <w:rPr>
          <w:b/>
        </w:rPr>
        <w:t>: It is not feasible for the UE to measure F</w:t>
      </w:r>
      <w:r>
        <w:rPr>
          <w:rFonts w:eastAsiaTheme="minorEastAsia"/>
          <w:b/>
          <w:lang w:val="en-US"/>
        </w:rPr>
        <w:t xml:space="preserve">1 score and system level KPIs. </w:t>
      </w:r>
    </w:p>
    <w:p w14:paraId="4BE67477" w14:textId="1633E1E1" w:rsidR="00494340" w:rsidRPr="00F8247B" w:rsidRDefault="006D2823" w:rsidP="00540946">
      <w:pPr>
        <w:spacing w:after="120"/>
        <w:ind w:rightChars="100" w:right="200"/>
        <w:jc w:val="both"/>
        <w:rPr>
          <w:b/>
        </w:rPr>
      </w:pPr>
      <w:r>
        <w:rPr>
          <w:rFonts w:eastAsiaTheme="minorEastAsia"/>
          <w:b/>
          <w:lang w:val="en-US"/>
        </w:rPr>
        <w:t xml:space="preserve">Observation </w:t>
      </w:r>
      <w:r w:rsidR="00710286">
        <w:rPr>
          <w:rFonts w:eastAsiaTheme="minorEastAsia"/>
          <w:b/>
          <w:lang w:val="en-US"/>
        </w:rPr>
        <w:t>6</w:t>
      </w:r>
      <w:r>
        <w:rPr>
          <w:rFonts w:eastAsiaTheme="minorEastAsia"/>
          <w:b/>
          <w:lang w:val="en-US"/>
        </w:rPr>
        <w:t xml:space="preserve">: </w:t>
      </w:r>
      <w:r w:rsidR="00494340">
        <w:rPr>
          <w:rFonts w:eastAsiaTheme="minorEastAsia"/>
          <w:b/>
          <w:lang w:val="en-US"/>
        </w:rPr>
        <w:t>As today, such metrics should be monitored by the net</w:t>
      </w:r>
      <w:r w:rsidR="00494340">
        <w:rPr>
          <w:b/>
        </w:rPr>
        <w:t>work on a long-term basis, but are not suitable for AIML functionality management.</w:t>
      </w:r>
    </w:p>
    <w:p w14:paraId="32AE2F13" w14:textId="48204D9E" w:rsidR="00E52BC8" w:rsidRDefault="00E52BC8" w:rsidP="00E52BC8">
      <w:pPr>
        <w:spacing w:after="120"/>
        <w:ind w:rightChars="100" w:right="200"/>
        <w:jc w:val="both"/>
        <w:rPr>
          <w:rFonts w:eastAsiaTheme="minorEastAsia"/>
          <w:b/>
          <w:lang w:val="en-US"/>
        </w:rPr>
      </w:pPr>
      <w:bookmarkStart w:id="4" w:name="_Hlk196925053"/>
      <w:r>
        <w:rPr>
          <w:rFonts w:eastAsiaTheme="minorEastAsia"/>
          <w:b/>
          <w:lang w:val="en-US"/>
        </w:rPr>
        <w:t>P</w:t>
      </w:r>
      <w:r>
        <w:rPr>
          <w:rFonts w:eastAsiaTheme="minorEastAsia" w:hint="eastAsia"/>
          <w:b/>
          <w:lang w:val="en-US"/>
        </w:rPr>
        <w:t>roposal</w:t>
      </w:r>
      <w:r>
        <w:rPr>
          <w:rFonts w:eastAsiaTheme="minorEastAsia"/>
          <w:b/>
          <w:lang w:val="en-US"/>
        </w:rPr>
        <w:t xml:space="preserve"> </w:t>
      </w:r>
      <w:r w:rsidR="00710286">
        <w:rPr>
          <w:rFonts w:eastAsiaTheme="minorEastAsia"/>
          <w:b/>
          <w:lang w:val="en-US"/>
        </w:rPr>
        <w:t>4</w:t>
      </w:r>
      <w:r>
        <w:rPr>
          <w:rFonts w:eastAsiaTheme="minorEastAsia"/>
          <w:b/>
          <w:lang w:val="en-US"/>
        </w:rPr>
        <w:t xml:space="preserve">: F1 score and </w:t>
      </w:r>
      <w:r w:rsidR="00494340">
        <w:rPr>
          <w:rFonts w:eastAsiaTheme="minorEastAsia"/>
          <w:b/>
          <w:lang w:val="en-US"/>
        </w:rPr>
        <w:t xml:space="preserve">system </w:t>
      </w:r>
      <w:r>
        <w:rPr>
          <w:rFonts w:eastAsiaTheme="minorEastAsia"/>
          <w:b/>
          <w:lang w:val="en-US"/>
        </w:rPr>
        <w:t xml:space="preserve">level KPIs are </w:t>
      </w:r>
      <w:r w:rsidR="00494340">
        <w:rPr>
          <w:rFonts w:eastAsiaTheme="minorEastAsia"/>
          <w:b/>
          <w:lang w:val="en-US"/>
        </w:rPr>
        <w:t xml:space="preserve">not used </w:t>
      </w:r>
      <w:r w:rsidR="00C93B90">
        <w:rPr>
          <w:rFonts w:eastAsiaTheme="minorEastAsia"/>
          <w:b/>
          <w:lang w:val="en-US"/>
        </w:rPr>
        <w:t>for</w:t>
      </w:r>
      <w:r w:rsidR="00494340">
        <w:rPr>
          <w:rFonts w:eastAsiaTheme="minorEastAsia"/>
          <w:b/>
          <w:lang w:val="en-US"/>
        </w:rPr>
        <w:t xml:space="preserve"> instantaneous AIML model</w:t>
      </w:r>
      <w:r w:rsidR="00C93B90">
        <w:rPr>
          <w:rFonts w:eastAsiaTheme="minorEastAsia"/>
          <w:b/>
          <w:lang w:val="en-US"/>
        </w:rPr>
        <w:t xml:space="preserve"> performance monitoring</w:t>
      </w:r>
      <w:r>
        <w:rPr>
          <w:rFonts w:eastAsiaTheme="minorEastAsia"/>
          <w:b/>
          <w:lang w:val="en-US"/>
        </w:rPr>
        <w:t>.</w:t>
      </w:r>
      <w:r w:rsidR="00494340">
        <w:rPr>
          <w:rFonts w:eastAsiaTheme="minorEastAsia"/>
          <w:b/>
          <w:lang w:val="en-US"/>
        </w:rPr>
        <w:t xml:space="preserve"> </w:t>
      </w:r>
    </w:p>
    <w:bookmarkEnd w:id="4"/>
    <w:p w14:paraId="383BBA3B" w14:textId="0D2C86AB" w:rsidR="00E52BC8" w:rsidRDefault="00E52BC8" w:rsidP="00540946">
      <w:pPr>
        <w:spacing w:after="120"/>
        <w:ind w:rightChars="100" w:right="200"/>
        <w:jc w:val="both"/>
      </w:pPr>
      <w:r>
        <w:t>However, for direct event prediction, there is no predicted RRM measurement result</w:t>
      </w:r>
      <w:r w:rsidR="00F25809">
        <w:t xml:space="preserve"> and in the simulations</w:t>
      </w:r>
      <w:r>
        <w:t xml:space="preserve"> only F1 score and SLS level KPIs </w:t>
      </w:r>
      <w:r w:rsidR="006B0DC9">
        <w:t>were</w:t>
      </w:r>
      <w:r>
        <w:t xml:space="preserve"> derived for direct event prediction. </w:t>
      </w:r>
      <w:r w:rsidR="002C0D3A">
        <w:t xml:space="preserve">This leads to a question how </w:t>
      </w:r>
      <w:r>
        <w:t>performance monitoring can</w:t>
      </w:r>
      <w:r w:rsidR="002C0D3A">
        <w:t xml:space="preserve"> be performed when the UE uses direct event prediction. Without having a mechanism to monitor the performance of the model, the network would have to rely solely on long-term metrics which means that a certain UE may experience a very bad mobility performance before the UE/network realizes that predictions are inaccurate. </w:t>
      </w:r>
      <w:r w:rsidR="00BD0FBE">
        <w:t xml:space="preserve">Such situation is obviously not acceptable for cellular systems and unless a proper </w:t>
      </w:r>
      <w:r w:rsidR="006B0DC9">
        <w:t xml:space="preserve">way </w:t>
      </w:r>
      <w:r w:rsidR="00BD0FBE">
        <w:t>to verify model performance for direct method is identified, we believe direct event prediction at the UE side should be excluded from further work</w:t>
      </w:r>
      <w:r>
        <w:t>.</w:t>
      </w:r>
    </w:p>
    <w:p w14:paraId="5885BE41" w14:textId="51FEE5CB" w:rsidR="00E52BC8" w:rsidRPr="000B191F" w:rsidRDefault="00E52BC8" w:rsidP="00540946">
      <w:pPr>
        <w:spacing w:after="120"/>
        <w:ind w:rightChars="100" w:right="200"/>
        <w:jc w:val="both"/>
        <w:rPr>
          <w:rFonts w:eastAsiaTheme="minorEastAsia"/>
          <w:b/>
          <w:lang w:val="en-US"/>
        </w:rPr>
      </w:pPr>
      <w:r>
        <w:rPr>
          <w:rFonts w:eastAsiaTheme="minorEastAsia"/>
          <w:b/>
          <w:lang w:val="en-US"/>
        </w:rPr>
        <w:lastRenderedPageBreak/>
        <w:t>P</w:t>
      </w:r>
      <w:r>
        <w:rPr>
          <w:rFonts w:eastAsiaTheme="minorEastAsia" w:hint="eastAsia"/>
          <w:b/>
          <w:lang w:val="en-US"/>
        </w:rPr>
        <w:t>roposal</w:t>
      </w:r>
      <w:r>
        <w:rPr>
          <w:rFonts w:eastAsiaTheme="minorEastAsia"/>
          <w:b/>
          <w:lang w:val="en-US"/>
        </w:rPr>
        <w:t xml:space="preserve"> </w:t>
      </w:r>
      <w:r w:rsidR="00710286">
        <w:rPr>
          <w:rFonts w:eastAsiaTheme="minorEastAsia"/>
          <w:b/>
          <w:lang w:val="en-US"/>
        </w:rPr>
        <w:t>5</w:t>
      </w:r>
      <w:r>
        <w:rPr>
          <w:rFonts w:eastAsiaTheme="minorEastAsia"/>
          <w:b/>
          <w:lang w:val="en-US"/>
        </w:rPr>
        <w:t xml:space="preserve">: </w:t>
      </w:r>
      <w:r w:rsidR="00E6179E">
        <w:rPr>
          <w:rFonts w:eastAsiaTheme="minorEastAsia"/>
          <w:b/>
          <w:lang w:val="en-US"/>
        </w:rPr>
        <w:t xml:space="preserve">Unless a way to monitor the performance of direct AIML prediction is identified, </w:t>
      </w:r>
      <w:r w:rsidR="000B191F" w:rsidRPr="000B191F">
        <w:rPr>
          <w:rFonts w:eastAsiaTheme="minorEastAsia"/>
          <w:b/>
          <w:lang w:val="en-US"/>
        </w:rPr>
        <w:t xml:space="preserve">direct event prediction </w:t>
      </w:r>
      <w:r w:rsidR="00E6179E">
        <w:rPr>
          <w:rFonts w:eastAsiaTheme="minorEastAsia"/>
          <w:b/>
          <w:lang w:val="en-US"/>
        </w:rPr>
        <w:t>should be excluded from further work</w:t>
      </w:r>
      <w:r w:rsidR="000B191F" w:rsidRPr="000B191F">
        <w:rPr>
          <w:rFonts w:eastAsiaTheme="minorEastAsia"/>
          <w:b/>
          <w:lang w:val="en-US"/>
        </w:rPr>
        <w:t>.</w:t>
      </w:r>
    </w:p>
    <w:p w14:paraId="4B396A51" w14:textId="3032DBBC" w:rsidR="00A053D1" w:rsidRPr="0060578E" w:rsidRDefault="003178A1">
      <w:pPr>
        <w:pStyle w:val="Heading1"/>
      </w:pPr>
      <w:r>
        <w:t>3</w:t>
      </w:r>
      <w:r w:rsidR="00827357" w:rsidRPr="0060578E">
        <w:t xml:space="preserve">   </w:t>
      </w:r>
      <w:r w:rsidR="00160A35">
        <w:t>Summary</w:t>
      </w:r>
    </w:p>
    <w:p w14:paraId="14037DF7" w14:textId="467A8041" w:rsidR="001C3A4F" w:rsidRDefault="003803FB" w:rsidP="00FA4F93">
      <w:pPr>
        <w:spacing w:after="0"/>
        <w:rPr>
          <w:rFonts w:eastAsiaTheme="minorEastAsia"/>
        </w:rPr>
      </w:pPr>
      <w:r>
        <w:rPr>
          <w:rFonts w:eastAsiaTheme="minorEastAsia"/>
        </w:rPr>
        <w:t xml:space="preserve">In the paper, </w:t>
      </w:r>
      <w:r w:rsidR="00BD6278">
        <w:rPr>
          <w:rFonts w:eastAsiaTheme="minorEastAsia"/>
        </w:rPr>
        <w:t>the performance monitoring</w:t>
      </w:r>
      <w:r>
        <w:rPr>
          <w:rFonts w:eastAsiaTheme="minorEastAsia"/>
        </w:rPr>
        <w:t xml:space="preserve"> on AIML aided mobility are discussed</w:t>
      </w:r>
      <w:r w:rsidR="001C3A4F">
        <w:rPr>
          <w:rFonts w:eastAsiaTheme="minorEastAsia"/>
        </w:rPr>
        <w:t xml:space="preserve">, </w:t>
      </w:r>
      <w:r>
        <w:rPr>
          <w:rFonts w:eastAsiaTheme="minorEastAsia"/>
        </w:rPr>
        <w:t>and the following observations and proposals are provided</w:t>
      </w:r>
      <w:r w:rsidR="001C3A4F">
        <w:rPr>
          <w:rFonts w:eastAsiaTheme="minorEastAsia"/>
        </w:rPr>
        <w:t>:</w:t>
      </w:r>
    </w:p>
    <w:p w14:paraId="34D6A752" w14:textId="60EEE766" w:rsidR="00E346BA" w:rsidRPr="00E346BA" w:rsidRDefault="00E346BA" w:rsidP="00E346BA">
      <w:pPr>
        <w:spacing w:before="240" w:after="120"/>
        <w:ind w:rightChars="100" w:right="200"/>
        <w:jc w:val="both"/>
        <w:rPr>
          <w:rFonts w:eastAsiaTheme="minorEastAsia"/>
          <w:u w:val="single"/>
          <w:lang w:val="en-US"/>
        </w:rPr>
      </w:pPr>
      <w:r w:rsidRPr="00E346BA">
        <w:rPr>
          <w:rFonts w:eastAsiaTheme="minorEastAsia"/>
          <w:u w:val="single"/>
          <w:lang w:val="en-US"/>
        </w:rPr>
        <w:t>Performance monitoring procedure</w:t>
      </w:r>
    </w:p>
    <w:p w14:paraId="53706F51" w14:textId="27925BC0" w:rsidR="003C2855" w:rsidRDefault="003C2855" w:rsidP="003C2855">
      <w:pPr>
        <w:spacing w:after="120"/>
        <w:ind w:rightChars="100" w:right="200"/>
        <w:jc w:val="both"/>
        <w:rPr>
          <w:rFonts w:eastAsiaTheme="minorEastAsia"/>
          <w:b/>
          <w:lang w:val="en-US"/>
        </w:rPr>
      </w:pPr>
      <w:r>
        <w:rPr>
          <w:rFonts w:eastAsiaTheme="minorEastAsia"/>
          <w:b/>
          <w:lang w:val="en-US"/>
        </w:rPr>
        <w:t xml:space="preserve">Observation 1: In case of temporal domain case B or spatial domain prediction, some </w:t>
      </w:r>
      <w:proofErr w:type="gramStart"/>
      <w:r>
        <w:rPr>
          <w:rFonts w:eastAsiaTheme="minorEastAsia"/>
          <w:b/>
          <w:lang w:val="en-US"/>
        </w:rPr>
        <w:t>R</w:t>
      </w:r>
      <w:r>
        <w:rPr>
          <w:rFonts w:eastAsiaTheme="minorEastAsia" w:hint="eastAsia"/>
          <w:b/>
          <w:lang w:val="en-US"/>
        </w:rPr>
        <w:t>S(</w:t>
      </w:r>
      <w:proofErr w:type="gramEnd"/>
      <w:r>
        <w:rPr>
          <w:rFonts w:eastAsiaTheme="minorEastAsia"/>
          <w:b/>
          <w:lang w:val="en-US"/>
        </w:rPr>
        <w:t xml:space="preserve">es) may be turned off </w:t>
      </w:r>
      <w:r>
        <w:rPr>
          <w:rFonts w:eastAsiaTheme="minorEastAsia" w:hint="eastAsia"/>
          <w:b/>
          <w:lang w:val="en-US"/>
        </w:rPr>
        <w:t>at</w:t>
      </w:r>
      <w:r>
        <w:rPr>
          <w:rFonts w:eastAsiaTheme="minorEastAsia"/>
          <w:b/>
          <w:lang w:val="en-US"/>
        </w:rPr>
        <w:t xml:space="preserve"> NW side in case the UE performs prediction for certain RS(es) or time instances.</w:t>
      </w:r>
    </w:p>
    <w:p w14:paraId="1B6B580F" w14:textId="12126FDD" w:rsidR="003C2855" w:rsidRDefault="003C2855" w:rsidP="003C2855">
      <w:pPr>
        <w:spacing w:after="120"/>
        <w:ind w:rightChars="100" w:right="200"/>
        <w:jc w:val="both"/>
        <w:rPr>
          <w:rFonts w:eastAsiaTheme="minorEastAsia"/>
          <w:b/>
          <w:lang w:val="en-US"/>
        </w:rPr>
      </w:pPr>
      <w:r>
        <w:rPr>
          <w:rFonts w:eastAsiaTheme="minorEastAsia"/>
          <w:b/>
          <w:lang w:val="en-US"/>
        </w:rPr>
        <w:t>Observation 2: In case of frequency domain prediction, the UE is not using measurement gaps to predict another frequency RSRP.</w:t>
      </w:r>
    </w:p>
    <w:p w14:paraId="687A1965" w14:textId="77777777" w:rsidR="005E7FC1" w:rsidRDefault="005E7FC1" w:rsidP="005E7FC1">
      <w:pPr>
        <w:spacing w:after="120"/>
        <w:ind w:rightChars="100" w:right="200"/>
        <w:jc w:val="both"/>
        <w:rPr>
          <w:rFonts w:eastAsiaTheme="minorEastAsia"/>
          <w:b/>
          <w:lang w:val="en-US"/>
        </w:rPr>
      </w:pPr>
      <w:r>
        <w:rPr>
          <w:rFonts w:eastAsiaTheme="minorEastAsia"/>
          <w:b/>
          <w:lang w:val="en-US"/>
        </w:rPr>
        <w:t xml:space="preserve">Observation 3: For temporal domain Case A prediction, it is feasible for the UE to autonomously switch from predicted measurements to regular measurements as all required </w:t>
      </w:r>
      <w:proofErr w:type="gramStart"/>
      <w:r>
        <w:rPr>
          <w:rFonts w:eastAsiaTheme="minorEastAsia"/>
          <w:b/>
          <w:lang w:val="en-US"/>
        </w:rPr>
        <w:t>RS(</w:t>
      </w:r>
      <w:proofErr w:type="gramEnd"/>
      <w:r>
        <w:rPr>
          <w:rFonts w:eastAsiaTheme="minorEastAsia"/>
          <w:b/>
          <w:lang w:val="en-US"/>
        </w:rPr>
        <w:t xml:space="preserve">es) are continuously provided by the network. </w:t>
      </w:r>
    </w:p>
    <w:p w14:paraId="2F2D179A" w14:textId="77777777" w:rsidR="005E7FC1" w:rsidRDefault="005E7FC1" w:rsidP="005E7FC1">
      <w:pPr>
        <w:spacing w:after="120"/>
        <w:ind w:rightChars="100" w:right="200"/>
        <w:jc w:val="both"/>
        <w:rPr>
          <w:rFonts w:eastAsiaTheme="minorEastAsia"/>
          <w:b/>
          <w:lang w:val="en-US"/>
        </w:rPr>
      </w:pPr>
      <w:r>
        <w:rPr>
          <w:rFonts w:eastAsiaTheme="minorEastAsia"/>
          <w:b/>
          <w:lang w:val="en-US"/>
        </w:rPr>
        <w:t>Observation 4: The HO performance may deteriorate if the UE waits for the NW to switch from predicted measurements to regular measurements.</w:t>
      </w:r>
    </w:p>
    <w:p w14:paraId="001E04EE" w14:textId="77777777" w:rsidR="003C2855" w:rsidRDefault="003C2855" w:rsidP="003C2855">
      <w:pPr>
        <w:spacing w:after="120"/>
        <w:ind w:rightChars="100" w:right="200"/>
        <w:jc w:val="both"/>
        <w:rPr>
          <w:rFonts w:eastAsiaTheme="minorEastAsia"/>
          <w:b/>
          <w:lang w:val="en-US"/>
        </w:rPr>
      </w:pPr>
      <w:bookmarkStart w:id="5" w:name="_GoBack"/>
      <w:bookmarkEnd w:id="5"/>
      <w:r>
        <w:rPr>
          <w:rFonts w:eastAsiaTheme="minorEastAsia"/>
          <w:b/>
          <w:lang w:val="en-US"/>
        </w:rPr>
        <w:t>Proposal 1: As a baseline, functionality management decisions based on performance monitoring are made at the network side. Metrics calculation at both network side and UE side should be supported (as for BM use case).</w:t>
      </w:r>
    </w:p>
    <w:p w14:paraId="6C13BEF4" w14:textId="77777777" w:rsidR="003C2855" w:rsidRPr="00D34276" w:rsidRDefault="003C2855" w:rsidP="003C2855">
      <w:pPr>
        <w:spacing w:after="120"/>
        <w:ind w:rightChars="100" w:right="200"/>
        <w:jc w:val="both"/>
        <w:rPr>
          <w:rFonts w:eastAsiaTheme="minorEastAsia"/>
          <w:b/>
          <w:lang w:val="en-US"/>
        </w:rPr>
      </w:pPr>
      <w:r>
        <w:rPr>
          <w:rFonts w:eastAsiaTheme="minorEastAsia"/>
          <w:b/>
          <w:lang w:val="en-US"/>
        </w:rPr>
        <w:t>Proposal 2: RAN2 to discuss whether for temporal domain Case A prediction, UE can autonomously switch from predicted to regular measurements in case of prediction performance deterioration.</w:t>
      </w:r>
    </w:p>
    <w:p w14:paraId="24702CA2" w14:textId="7E6D0443" w:rsidR="00E346BA" w:rsidRPr="00E346BA" w:rsidRDefault="00E346BA" w:rsidP="00EE0501">
      <w:pPr>
        <w:spacing w:before="240"/>
        <w:ind w:rightChars="100" w:right="200"/>
        <w:jc w:val="both"/>
        <w:rPr>
          <w:rFonts w:eastAsiaTheme="minorEastAsia"/>
          <w:u w:val="single"/>
          <w:lang w:val="en-US"/>
        </w:rPr>
      </w:pPr>
      <w:r w:rsidRPr="00E346BA">
        <w:rPr>
          <w:rFonts w:eastAsiaTheme="minorEastAsia"/>
          <w:u w:val="single"/>
          <w:lang w:val="en-US"/>
        </w:rPr>
        <w:t>Performance metrics</w:t>
      </w:r>
    </w:p>
    <w:p w14:paraId="6F16A47C" w14:textId="77777777" w:rsidR="00EE0501" w:rsidRDefault="00EE0501" w:rsidP="00EE0501">
      <w:pPr>
        <w:spacing w:after="120"/>
        <w:ind w:rightChars="100" w:right="200"/>
        <w:jc w:val="both"/>
        <w:rPr>
          <w:rFonts w:eastAsiaTheme="minorEastAsia"/>
          <w:b/>
          <w:lang w:val="en-US"/>
        </w:rPr>
      </w:pPr>
      <w:r>
        <w:rPr>
          <w:b/>
        </w:rPr>
        <w:t>Observation 5: It is not feasible for the UE to measure F</w:t>
      </w:r>
      <w:r>
        <w:rPr>
          <w:rFonts w:eastAsiaTheme="minorEastAsia"/>
          <w:b/>
          <w:lang w:val="en-US"/>
        </w:rPr>
        <w:t xml:space="preserve">1 score and system level KPIs. </w:t>
      </w:r>
    </w:p>
    <w:p w14:paraId="52B10F53" w14:textId="77777777" w:rsidR="00EE0501" w:rsidRPr="00F8247B" w:rsidRDefault="00EE0501" w:rsidP="00EE0501">
      <w:pPr>
        <w:spacing w:after="0"/>
        <w:ind w:rightChars="100" w:right="200"/>
        <w:jc w:val="both"/>
        <w:rPr>
          <w:b/>
        </w:rPr>
      </w:pPr>
      <w:r>
        <w:rPr>
          <w:rFonts w:eastAsiaTheme="minorEastAsia"/>
          <w:b/>
          <w:lang w:val="en-US"/>
        </w:rPr>
        <w:t>Observation 6: As today, such metrics should be monitored by the net</w:t>
      </w:r>
      <w:r>
        <w:rPr>
          <w:b/>
        </w:rPr>
        <w:t>work on a long-term basis, but are not suitable for AIML functionality management.</w:t>
      </w:r>
    </w:p>
    <w:p w14:paraId="4C919173" w14:textId="1CAD59FE" w:rsidR="003C2855" w:rsidRDefault="003C2855" w:rsidP="003C2855">
      <w:pPr>
        <w:spacing w:before="240"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3: For RRM measurement prediction and indirect event prediction, RS</w:t>
      </w:r>
      <w:r>
        <w:rPr>
          <w:rFonts w:eastAsiaTheme="minorEastAsia" w:hint="eastAsia"/>
          <w:b/>
          <w:lang w:val="en-US"/>
        </w:rPr>
        <w:t>RP</w:t>
      </w:r>
      <w:r>
        <w:rPr>
          <w:rFonts w:eastAsiaTheme="minorEastAsia"/>
          <w:b/>
          <w:lang w:val="en-US"/>
        </w:rPr>
        <w:t xml:space="preserve"> difference or similar metric (e.g. RMSE) should be used as the metric for performance monitoring for both cell-level and beam level measurement predictions. The details of the metric should be defined by RAN4.</w:t>
      </w:r>
    </w:p>
    <w:p w14:paraId="07B5C91D" w14:textId="77777777" w:rsidR="003C2855" w:rsidRDefault="003C2855" w:rsidP="003C2855">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4: F1 score and system level KPIs are not used for instantaneous AIML model performance monitoring. </w:t>
      </w:r>
    </w:p>
    <w:p w14:paraId="63F11AAD" w14:textId="77777777" w:rsidR="003C2855" w:rsidRPr="000B191F" w:rsidRDefault="003C2855" w:rsidP="003C2855">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5: Unless a way to monitor the performance of direct AIML prediction is identified, </w:t>
      </w:r>
      <w:r w:rsidRPr="000B191F">
        <w:rPr>
          <w:rFonts w:eastAsiaTheme="minorEastAsia"/>
          <w:b/>
          <w:lang w:val="en-US"/>
        </w:rPr>
        <w:t xml:space="preserve">direct event prediction </w:t>
      </w:r>
      <w:r>
        <w:rPr>
          <w:rFonts w:eastAsiaTheme="minorEastAsia"/>
          <w:b/>
          <w:lang w:val="en-US"/>
        </w:rPr>
        <w:t>should be excluded from further work</w:t>
      </w:r>
      <w:r w:rsidRPr="000B191F">
        <w:rPr>
          <w:rFonts w:eastAsiaTheme="minorEastAsia"/>
          <w:b/>
          <w:lang w:val="en-US"/>
        </w:rPr>
        <w:t>.</w:t>
      </w:r>
    </w:p>
    <w:p w14:paraId="7EC0D8B7" w14:textId="77777777" w:rsidR="00FB01C0" w:rsidRPr="00A544AD" w:rsidRDefault="00FB01C0" w:rsidP="00C217E6">
      <w:pPr>
        <w:rPr>
          <w:rFonts w:eastAsiaTheme="minorEastAsia"/>
          <w:sz w:val="22"/>
          <w:szCs w:val="22"/>
        </w:rPr>
      </w:pPr>
    </w:p>
    <w:sectPr w:rsidR="00FB01C0" w:rsidRPr="00A544AD">
      <w:footerReference w:type="defaul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45DB1" w16cex:dateUtc="2025-05-06T02:06:00Z"/>
  <w16cex:commentExtensible w16cex:durableId="2BBCD763" w16cex:dateUtc="2025-04-30T09:07:00Z"/>
  <w16cex:commentExtensible w16cex:durableId="2BBCD794" w16cex:dateUtc="2025-04-30T09:08:00Z"/>
  <w16cex:commentExtensible w16cex:durableId="2BC45E3E" w16cex:dateUtc="2025-05-06T02:09:00Z"/>
  <w16cex:commentExtensible w16cex:durableId="2B8D8BEF" w16cex:dateUtc="2025-03-25T12: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3DCC0" w14:textId="77777777" w:rsidR="00430A76" w:rsidRDefault="00430A76">
      <w:pPr>
        <w:spacing w:after="0"/>
      </w:pPr>
      <w:r>
        <w:separator/>
      </w:r>
    </w:p>
  </w:endnote>
  <w:endnote w:type="continuationSeparator" w:id="0">
    <w:p w14:paraId="24FD417F" w14:textId="77777777" w:rsidR="00430A76" w:rsidRDefault="00430A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967E4" w:rsidRDefault="001967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1EC21" w14:textId="77777777" w:rsidR="00430A76" w:rsidRDefault="00430A76">
      <w:pPr>
        <w:spacing w:after="0"/>
      </w:pPr>
      <w:r>
        <w:separator/>
      </w:r>
    </w:p>
  </w:footnote>
  <w:footnote w:type="continuationSeparator" w:id="0">
    <w:p w14:paraId="01CCD27D" w14:textId="77777777" w:rsidR="00430A76" w:rsidRDefault="00430A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F7049"/>
    <w:multiLevelType w:val="multilevel"/>
    <w:tmpl w:val="C2F4A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574C7"/>
    <w:multiLevelType w:val="hybridMultilevel"/>
    <w:tmpl w:val="D7B0F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A23EE"/>
    <w:multiLevelType w:val="multilevel"/>
    <w:tmpl w:val="126A23EE"/>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995A83AA"/>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2C58D0"/>
    <w:multiLevelType w:val="hybridMultilevel"/>
    <w:tmpl w:val="E4ECF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573F4"/>
    <w:multiLevelType w:val="hybridMultilevel"/>
    <w:tmpl w:val="35C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8C3994"/>
    <w:multiLevelType w:val="hybridMultilevel"/>
    <w:tmpl w:val="5AEA45C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5D11738"/>
    <w:multiLevelType w:val="hybridMultilevel"/>
    <w:tmpl w:val="0E6488E6"/>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50D2444E"/>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5C7643"/>
    <w:multiLevelType w:val="hybridMultilevel"/>
    <w:tmpl w:val="3C5CF0DA"/>
    <w:lvl w:ilvl="0" w:tplc="580E8B94">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D45FA9"/>
    <w:multiLevelType w:val="multilevel"/>
    <w:tmpl w:val="3E3C1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BE1DC7"/>
    <w:multiLevelType w:val="hybridMultilevel"/>
    <w:tmpl w:val="056EC132"/>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D447D"/>
    <w:multiLevelType w:val="multilevel"/>
    <w:tmpl w:val="56EE5E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DBA021F"/>
    <w:multiLevelType w:val="hybridMultilevel"/>
    <w:tmpl w:val="7FC646D4"/>
    <w:lvl w:ilvl="0" w:tplc="4FC22CF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F82E36"/>
    <w:multiLevelType w:val="hybridMultilevel"/>
    <w:tmpl w:val="7CF07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D448D0"/>
    <w:multiLevelType w:val="hybridMultilevel"/>
    <w:tmpl w:val="AFF000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884294"/>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AF0498"/>
    <w:multiLevelType w:val="hybridMultilevel"/>
    <w:tmpl w:val="B0FAFC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74629A"/>
    <w:multiLevelType w:val="hybridMultilevel"/>
    <w:tmpl w:val="0568E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F92A7E"/>
    <w:multiLevelType w:val="hybridMultilevel"/>
    <w:tmpl w:val="C194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0"/>
    <w:lvlOverride w:ilvl="0">
      <w:startOverride w:val="1"/>
    </w:lvlOverride>
  </w:num>
  <w:num w:numId="4">
    <w:abstractNumId w:val="5"/>
  </w:num>
  <w:num w:numId="5">
    <w:abstractNumId w:val="26"/>
  </w:num>
  <w:num w:numId="6">
    <w:abstractNumId w:val="30"/>
  </w:num>
  <w:num w:numId="7">
    <w:abstractNumId w:val="22"/>
  </w:num>
  <w:num w:numId="8">
    <w:abstractNumId w:val="8"/>
  </w:num>
  <w:num w:numId="9">
    <w:abstractNumId w:val="9"/>
  </w:num>
  <w:num w:numId="10">
    <w:abstractNumId w:val="1"/>
  </w:num>
  <w:num w:numId="11">
    <w:abstractNumId w:val="21"/>
  </w:num>
  <w:num w:numId="12">
    <w:abstractNumId w:val="19"/>
  </w:num>
  <w:num w:numId="13">
    <w:abstractNumId w:val="12"/>
  </w:num>
  <w:num w:numId="14">
    <w:abstractNumId w:val="16"/>
  </w:num>
  <w:num w:numId="15">
    <w:abstractNumId w:val="0"/>
    <w:lvlOverride w:ilvl="0">
      <w:startOverride w:val="1"/>
    </w:lvlOverride>
  </w:num>
  <w:num w:numId="16">
    <w:abstractNumId w:val="18"/>
    <w:lvlOverride w:ilvl="0">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3"/>
  </w:num>
  <w:num w:numId="20">
    <w:abstractNumId w:val="3"/>
  </w:num>
  <w:num w:numId="21">
    <w:abstractNumId w:val="14"/>
    <w:lvlOverride w:ilvl="0">
      <w:startOverride w:val="1"/>
    </w:lvlOverride>
  </w:num>
  <w:num w:numId="22">
    <w:abstractNumId w:val="28"/>
  </w:num>
  <w:num w:numId="23">
    <w:abstractNumId w:val="25"/>
  </w:num>
  <w:num w:numId="24">
    <w:abstractNumId w:val="6"/>
  </w:num>
  <w:num w:numId="25">
    <w:abstractNumId w:val="7"/>
  </w:num>
  <w:num w:numId="26">
    <w:abstractNumId w:val="29"/>
  </w:num>
  <w:num w:numId="27">
    <w:abstractNumId w:val="13"/>
  </w:num>
  <w:num w:numId="28">
    <w:abstractNumId w:val="4"/>
  </w:num>
  <w:num w:numId="29">
    <w:abstractNumId w:val="2"/>
  </w:num>
  <w:num w:numId="30">
    <w:abstractNumId w:val="24"/>
  </w:num>
  <w:num w:numId="3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CA1"/>
    <w:rsid w:val="00004D43"/>
    <w:rsid w:val="0000541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6DD"/>
    <w:rsid w:val="00032B17"/>
    <w:rsid w:val="00032D86"/>
    <w:rsid w:val="00033583"/>
    <w:rsid w:val="000336D2"/>
    <w:rsid w:val="00033A16"/>
    <w:rsid w:val="000342D6"/>
    <w:rsid w:val="00034B94"/>
    <w:rsid w:val="00034D55"/>
    <w:rsid w:val="00034F3C"/>
    <w:rsid w:val="00035241"/>
    <w:rsid w:val="00035433"/>
    <w:rsid w:val="00035609"/>
    <w:rsid w:val="0003560E"/>
    <w:rsid w:val="000356C9"/>
    <w:rsid w:val="00035726"/>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BBB"/>
    <w:rsid w:val="000613DF"/>
    <w:rsid w:val="00061605"/>
    <w:rsid w:val="00061A09"/>
    <w:rsid w:val="00061DC2"/>
    <w:rsid w:val="00061EF7"/>
    <w:rsid w:val="00062354"/>
    <w:rsid w:val="00063402"/>
    <w:rsid w:val="000636CB"/>
    <w:rsid w:val="00063769"/>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D67"/>
    <w:rsid w:val="000A3A23"/>
    <w:rsid w:val="000A3F7A"/>
    <w:rsid w:val="000A4353"/>
    <w:rsid w:val="000A474D"/>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91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3CF"/>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A09"/>
    <w:rsid w:val="00104B87"/>
    <w:rsid w:val="00104C91"/>
    <w:rsid w:val="00104E4C"/>
    <w:rsid w:val="001051B8"/>
    <w:rsid w:val="00105306"/>
    <w:rsid w:val="001053CD"/>
    <w:rsid w:val="001054F7"/>
    <w:rsid w:val="00105803"/>
    <w:rsid w:val="00105C84"/>
    <w:rsid w:val="00106072"/>
    <w:rsid w:val="00106634"/>
    <w:rsid w:val="001069CB"/>
    <w:rsid w:val="00106EAA"/>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27588"/>
    <w:rsid w:val="00127626"/>
    <w:rsid w:val="0013021E"/>
    <w:rsid w:val="001309D2"/>
    <w:rsid w:val="00130F73"/>
    <w:rsid w:val="001313B2"/>
    <w:rsid w:val="00131D4F"/>
    <w:rsid w:val="001321DE"/>
    <w:rsid w:val="0013220E"/>
    <w:rsid w:val="00132616"/>
    <w:rsid w:val="00132C5E"/>
    <w:rsid w:val="00132F7C"/>
    <w:rsid w:val="00133104"/>
    <w:rsid w:val="0013341F"/>
    <w:rsid w:val="00133B72"/>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74A"/>
    <w:rsid w:val="00160A35"/>
    <w:rsid w:val="00160D86"/>
    <w:rsid w:val="00161002"/>
    <w:rsid w:val="0016128F"/>
    <w:rsid w:val="001613C8"/>
    <w:rsid w:val="00161427"/>
    <w:rsid w:val="00162046"/>
    <w:rsid w:val="001620B8"/>
    <w:rsid w:val="0016220B"/>
    <w:rsid w:val="001622A1"/>
    <w:rsid w:val="00162A56"/>
    <w:rsid w:val="00162A82"/>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9"/>
    <w:rsid w:val="00176A4E"/>
    <w:rsid w:val="00176AAC"/>
    <w:rsid w:val="00176ACC"/>
    <w:rsid w:val="00177426"/>
    <w:rsid w:val="0017776D"/>
    <w:rsid w:val="001777CA"/>
    <w:rsid w:val="00177941"/>
    <w:rsid w:val="00177BF8"/>
    <w:rsid w:val="00177EB9"/>
    <w:rsid w:val="001807DE"/>
    <w:rsid w:val="00180A47"/>
    <w:rsid w:val="00180F3D"/>
    <w:rsid w:val="001810B9"/>
    <w:rsid w:val="00181565"/>
    <w:rsid w:val="00182214"/>
    <w:rsid w:val="00182896"/>
    <w:rsid w:val="00183653"/>
    <w:rsid w:val="001839CF"/>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B38"/>
    <w:rsid w:val="001A2E3C"/>
    <w:rsid w:val="001A3FA8"/>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0A78"/>
    <w:rsid w:val="001B140D"/>
    <w:rsid w:val="001B151A"/>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E69"/>
    <w:rsid w:val="001E7174"/>
    <w:rsid w:val="001E718A"/>
    <w:rsid w:val="001E7441"/>
    <w:rsid w:val="001E76C9"/>
    <w:rsid w:val="001E7B9E"/>
    <w:rsid w:val="001E7EFE"/>
    <w:rsid w:val="001F0239"/>
    <w:rsid w:val="001F06A3"/>
    <w:rsid w:val="001F0B67"/>
    <w:rsid w:val="001F15F2"/>
    <w:rsid w:val="001F1C57"/>
    <w:rsid w:val="001F1D8C"/>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79"/>
    <w:rsid w:val="00200AD8"/>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E5"/>
    <w:rsid w:val="00250895"/>
    <w:rsid w:val="002510DE"/>
    <w:rsid w:val="00251681"/>
    <w:rsid w:val="00251708"/>
    <w:rsid w:val="0025185A"/>
    <w:rsid w:val="00251B24"/>
    <w:rsid w:val="0025239D"/>
    <w:rsid w:val="00252881"/>
    <w:rsid w:val="00252A3C"/>
    <w:rsid w:val="00252CC4"/>
    <w:rsid w:val="00252FBF"/>
    <w:rsid w:val="00252FF1"/>
    <w:rsid w:val="00254147"/>
    <w:rsid w:val="0025583A"/>
    <w:rsid w:val="00255952"/>
    <w:rsid w:val="00255BB6"/>
    <w:rsid w:val="00255BC6"/>
    <w:rsid w:val="00255EDC"/>
    <w:rsid w:val="00256075"/>
    <w:rsid w:val="0025619F"/>
    <w:rsid w:val="00256577"/>
    <w:rsid w:val="002567E0"/>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CC8"/>
    <w:rsid w:val="00272D19"/>
    <w:rsid w:val="002733EF"/>
    <w:rsid w:val="0027383F"/>
    <w:rsid w:val="00273C1C"/>
    <w:rsid w:val="00273CEA"/>
    <w:rsid w:val="002745A5"/>
    <w:rsid w:val="00274892"/>
    <w:rsid w:val="00274F8F"/>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7AB"/>
    <w:rsid w:val="002969C2"/>
    <w:rsid w:val="00296C34"/>
    <w:rsid w:val="00296D15"/>
    <w:rsid w:val="00296D76"/>
    <w:rsid w:val="0029704A"/>
    <w:rsid w:val="00297324"/>
    <w:rsid w:val="002974A5"/>
    <w:rsid w:val="00297575"/>
    <w:rsid w:val="002975BC"/>
    <w:rsid w:val="002979FC"/>
    <w:rsid w:val="00297A29"/>
    <w:rsid w:val="00297C36"/>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0D3"/>
    <w:rsid w:val="002B1156"/>
    <w:rsid w:val="002B117B"/>
    <w:rsid w:val="002B1487"/>
    <w:rsid w:val="002B1C38"/>
    <w:rsid w:val="002B1C46"/>
    <w:rsid w:val="002B2B25"/>
    <w:rsid w:val="002B2FBD"/>
    <w:rsid w:val="002B31F7"/>
    <w:rsid w:val="002B384E"/>
    <w:rsid w:val="002B3CD6"/>
    <w:rsid w:val="002B3D5A"/>
    <w:rsid w:val="002B43FC"/>
    <w:rsid w:val="002B4B1A"/>
    <w:rsid w:val="002B4CA7"/>
    <w:rsid w:val="002B5067"/>
    <w:rsid w:val="002B56CF"/>
    <w:rsid w:val="002B5F86"/>
    <w:rsid w:val="002B6177"/>
    <w:rsid w:val="002B65C2"/>
    <w:rsid w:val="002B6970"/>
    <w:rsid w:val="002B739C"/>
    <w:rsid w:val="002B74C8"/>
    <w:rsid w:val="002B7918"/>
    <w:rsid w:val="002C0167"/>
    <w:rsid w:val="002C0256"/>
    <w:rsid w:val="002C0D3A"/>
    <w:rsid w:val="002C18C0"/>
    <w:rsid w:val="002C1B6C"/>
    <w:rsid w:val="002C1C84"/>
    <w:rsid w:val="002C266A"/>
    <w:rsid w:val="002C26C7"/>
    <w:rsid w:val="002C2A26"/>
    <w:rsid w:val="002C2D6D"/>
    <w:rsid w:val="002C2FA3"/>
    <w:rsid w:val="002C323B"/>
    <w:rsid w:val="002C39C9"/>
    <w:rsid w:val="002C3BBA"/>
    <w:rsid w:val="002C40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1F34"/>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076"/>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66C"/>
    <w:rsid w:val="00346886"/>
    <w:rsid w:val="003506AE"/>
    <w:rsid w:val="0035080C"/>
    <w:rsid w:val="00350825"/>
    <w:rsid w:val="00350D8D"/>
    <w:rsid w:val="00350D91"/>
    <w:rsid w:val="00351538"/>
    <w:rsid w:val="0035167F"/>
    <w:rsid w:val="00351B40"/>
    <w:rsid w:val="00351BE0"/>
    <w:rsid w:val="00351F1E"/>
    <w:rsid w:val="00353003"/>
    <w:rsid w:val="0035327F"/>
    <w:rsid w:val="00353CF6"/>
    <w:rsid w:val="00354120"/>
    <w:rsid w:val="003542D9"/>
    <w:rsid w:val="003549F2"/>
    <w:rsid w:val="00354CB2"/>
    <w:rsid w:val="00354E81"/>
    <w:rsid w:val="00356767"/>
    <w:rsid w:val="003567C1"/>
    <w:rsid w:val="00356D83"/>
    <w:rsid w:val="00357146"/>
    <w:rsid w:val="0036042E"/>
    <w:rsid w:val="00360F13"/>
    <w:rsid w:val="0036117C"/>
    <w:rsid w:val="003612A1"/>
    <w:rsid w:val="00361394"/>
    <w:rsid w:val="00361460"/>
    <w:rsid w:val="00362324"/>
    <w:rsid w:val="00362A99"/>
    <w:rsid w:val="00362C32"/>
    <w:rsid w:val="00362E91"/>
    <w:rsid w:val="003631DD"/>
    <w:rsid w:val="003632F2"/>
    <w:rsid w:val="00364DC0"/>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4701"/>
    <w:rsid w:val="00374A99"/>
    <w:rsid w:val="00375526"/>
    <w:rsid w:val="00375BDC"/>
    <w:rsid w:val="00376398"/>
    <w:rsid w:val="003763F7"/>
    <w:rsid w:val="003770C8"/>
    <w:rsid w:val="00377312"/>
    <w:rsid w:val="003774E0"/>
    <w:rsid w:val="00377659"/>
    <w:rsid w:val="00377CF1"/>
    <w:rsid w:val="00380114"/>
    <w:rsid w:val="00380397"/>
    <w:rsid w:val="003803FB"/>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96C"/>
    <w:rsid w:val="00395BFA"/>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734"/>
    <w:rsid w:val="003A7CBD"/>
    <w:rsid w:val="003A7E8B"/>
    <w:rsid w:val="003A7E9B"/>
    <w:rsid w:val="003B016E"/>
    <w:rsid w:val="003B0896"/>
    <w:rsid w:val="003B10B3"/>
    <w:rsid w:val="003B18EA"/>
    <w:rsid w:val="003B1BC7"/>
    <w:rsid w:val="003B2363"/>
    <w:rsid w:val="003B27F7"/>
    <w:rsid w:val="003B287C"/>
    <w:rsid w:val="003B29F0"/>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855"/>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10F"/>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315"/>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43C"/>
    <w:rsid w:val="004228A3"/>
    <w:rsid w:val="00422E23"/>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A76"/>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3813"/>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0F0"/>
    <w:rsid w:val="004778A9"/>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340"/>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2B7"/>
    <w:rsid w:val="004C1779"/>
    <w:rsid w:val="004C1909"/>
    <w:rsid w:val="004C1A52"/>
    <w:rsid w:val="004C1EE7"/>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2CE"/>
    <w:rsid w:val="004D62E4"/>
    <w:rsid w:val="004D67CE"/>
    <w:rsid w:val="004D725D"/>
    <w:rsid w:val="004D7826"/>
    <w:rsid w:val="004D7AA7"/>
    <w:rsid w:val="004D7B97"/>
    <w:rsid w:val="004D7BA2"/>
    <w:rsid w:val="004D7BB9"/>
    <w:rsid w:val="004D7D1A"/>
    <w:rsid w:val="004E0336"/>
    <w:rsid w:val="004E0745"/>
    <w:rsid w:val="004E07E9"/>
    <w:rsid w:val="004E0BDB"/>
    <w:rsid w:val="004E0C65"/>
    <w:rsid w:val="004E0EA4"/>
    <w:rsid w:val="004E105E"/>
    <w:rsid w:val="004E14DF"/>
    <w:rsid w:val="004E1BFF"/>
    <w:rsid w:val="004E1D71"/>
    <w:rsid w:val="004E235D"/>
    <w:rsid w:val="004E258F"/>
    <w:rsid w:val="004E2929"/>
    <w:rsid w:val="004E2E6C"/>
    <w:rsid w:val="004E2F6C"/>
    <w:rsid w:val="004E2FA9"/>
    <w:rsid w:val="004E34FA"/>
    <w:rsid w:val="004E3817"/>
    <w:rsid w:val="004E39F9"/>
    <w:rsid w:val="004E3BA5"/>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3982"/>
    <w:rsid w:val="00513B06"/>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0DC"/>
    <w:rsid w:val="0052298D"/>
    <w:rsid w:val="00522A16"/>
    <w:rsid w:val="00522A7B"/>
    <w:rsid w:val="005235AB"/>
    <w:rsid w:val="00523907"/>
    <w:rsid w:val="00523C94"/>
    <w:rsid w:val="00524C2C"/>
    <w:rsid w:val="005251B9"/>
    <w:rsid w:val="00525332"/>
    <w:rsid w:val="005253CC"/>
    <w:rsid w:val="00525E21"/>
    <w:rsid w:val="00525FEB"/>
    <w:rsid w:val="0052611D"/>
    <w:rsid w:val="0052659A"/>
    <w:rsid w:val="0052680A"/>
    <w:rsid w:val="00526AE5"/>
    <w:rsid w:val="00526F93"/>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606"/>
    <w:rsid w:val="00535EC5"/>
    <w:rsid w:val="00535FAC"/>
    <w:rsid w:val="00536244"/>
    <w:rsid w:val="005362A6"/>
    <w:rsid w:val="0053658B"/>
    <w:rsid w:val="00536595"/>
    <w:rsid w:val="005365C5"/>
    <w:rsid w:val="00536E83"/>
    <w:rsid w:val="00537C22"/>
    <w:rsid w:val="00537DD9"/>
    <w:rsid w:val="00540792"/>
    <w:rsid w:val="005407FC"/>
    <w:rsid w:val="00540946"/>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741"/>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4D3"/>
    <w:rsid w:val="00596D5D"/>
    <w:rsid w:val="005974D7"/>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D05"/>
    <w:rsid w:val="005B2E1C"/>
    <w:rsid w:val="005B2EEA"/>
    <w:rsid w:val="005B35D9"/>
    <w:rsid w:val="005B384B"/>
    <w:rsid w:val="005B3B39"/>
    <w:rsid w:val="005B3CB7"/>
    <w:rsid w:val="005B423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79F"/>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E7FC1"/>
    <w:rsid w:val="005F0026"/>
    <w:rsid w:val="005F054F"/>
    <w:rsid w:val="005F0604"/>
    <w:rsid w:val="005F0977"/>
    <w:rsid w:val="005F0E47"/>
    <w:rsid w:val="005F1312"/>
    <w:rsid w:val="005F1559"/>
    <w:rsid w:val="005F1737"/>
    <w:rsid w:val="005F1DEF"/>
    <w:rsid w:val="005F207D"/>
    <w:rsid w:val="005F20D7"/>
    <w:rsid w:val="005F2603"/>
    <w:rsid w:val="005F2975"/>
    <w:rsid w:val="005F29AC"/>
    <w:rsid w:val="005F2B17"/>
    <w:rsid w:val="005F2E6C"/>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1CF"/>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B02"/>
    <w:rsid w:val="00616D17"/>
    <w:rsid w:val="00616D83"/>
    <w:rsid w:val="00617A22"/>
    <w:rsid w:val="00617F0A"/>
    <w:rsid w:val="006201C8"/>
    <w:rsid w:val="0062056B"/>
    <w:rsid w:val="0062061C"/>
    <w:rsid w:val="0062085F"/>
    <w:rsid w:val="00620927"/>
    <w:rsid w:val="00620A7D"/>
    <w:rsid w:val="00620C52"/>
    <w:rsid w:val="00620F86"/>
    <w:rsid w:val="0062100C"/>
    <w:rsid w:val="00622221"/>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B40"/>
    <w:rsid w:val="00626B9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719"/>
    <w:rsid w:val="006538E8"/>
    <w:rsid w:val="00653A4C"/>
    <w:rsid w:val="006546AC"/>
    <w:rsid w:val="006547F5"/>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6E62"/>
    <w:rsid w:val="00667317"/>
    <w:rsid w:val="00667656"/>
    <w:rsid w:val="00667845"/>
    <w:rsid w:val="00670062"/>
    <w:rsid w:val="0067039F"/>
    <w:rsid w:val="00670595"/>
    <w:rsid w:val="006705F8"/>
    <w:rsid w:val="006707F0"/>
    <w:rsid w:val="00670BD0"/>
    <w:rsid w:val="00670C87"/>
    <w:rsid w:val="00670D29"/>
    <w:rsid w:val="006711D0"/>
    <w:rsid w:val="0067154B"/>
    <w:rsid w:val="0067178C"/>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294"/>
    <w:rsid w:val="006A7917"/>
    <w:rsid w:val="006A7BD3"/>
    <w:rsid w:val="006A7EAF"/>
    <w:rsid w:val="006B0459"/>
    <w:rsid w:val="006B05FB"/>
    <w:rsid w:val="006B091F"/>
    <w:rsid w:val="006B0A5E"/>
    <w:rsid w:val="006B0DC9"/>
    <w:rsid w:val="006B1597"/>
    <w:rsid w:val="006B19C5"/>
    <w:rsid w:val="006B19E1"/>
    <w:rsid w:val="006B1DC4"/>
    <w:rsid w:val="006B1F6D"/>
    <w:rsid w:val="006B2262"/>
    <w:rsid w:val="006B2478"/>
    <w:rsid w:val="006B2CDC"/>
    <w:rsid w:val="006B2E5B"/>
    <w:rsid w:val="006B3137"/>
    <w:rsid w:val="006B353F"/>
    <w:rsid w:val="006B3806"/>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187"/>
    <w:rsid w:val="006C41B0"/>
    <w:rsid w:val="006C43A5"/>
    <w:rsid w:val="006C440F"/>
    <w:rsid w:val="006C4F0A"/>
    <w:rsid w:val="006C537A"/>
    <w:rsid w:val="006C5DAC"/>
    <w:rsid w:val="006C612B"/>
    <w:rsid w:val="006C6320"/>
    <w:rsid w:val="006C6370"/>
    <w:rsid w:val="006C6539"/>
    <w:rsid w:val="006C6687"/>
    <w:rsid w:val="006C67DF"/>
    <w:rsid w:val="006C6A16"/>
    <w:rsid w:val="006C75A0"/>
    <w:rsid w:val="006C7C07"/>
    <w:rsid w:val="006C7F0D"/>
    <w:rsid w:val="006D002C"/>
    <w:rsid w:val="006D05B4"/>
    <w:rsid w:val="006D0630"/>
    <w:rsid w:val="006D0E30"/>
    <w:rsid w:val="006D0E78"/>
    <w:rsid w:val="006D1409"/>
    <w:rsid w:val="006D1423"/>
    <w:rsid w:val="006D166D"/>
    <w:rsid w:val="006D1835"/>
    <w:rsid w:val="006D1C74"/>
    <w:rsid w:val="006D1E0A"/>
    <w:rsid w:val="006D1E31"/>
    <w:rsid w:val="006D207B"/>
    <w:rsid w:val="006D20C0"/>
    <w:rsid w:val="006D26A6"/>
    <w:rsid w:val="006D2823"/>
    <w:rsid w:val="006D302D"/>
    <w:rsid w:val="006D330F"/>
    <w:rsid w:val="006D38E0"/>
    <w:rsid w:val="006D3AB1"/>
    <w:rsid w:val="006D3C29"/>
    <w:rsid w:val="006D3CA3"/>
    <w:rsid w:val="006D3F40"/>
    <w:rsid w:val="006D4121"/>
    <w:rsid w:val="006D4230"/>
    <w:rsid w:val="006D455D"/>
    <w:rsid w:val="006D461C"/>
    <w:rsid w:val="006D49A0"/>
    <w:rsid w:val="006D4F8C"/>
    <w:rsid w:val="006D53DF"/>
    <w:rsid w:val="006D5935"/>
    <w:rsid w:val="006D5B80"/>
    <w:rsid w:val="006D5DFC"/>
    <w:rsid w:val="006D6429"/>
    <w:rsid w:val="006D69A3"/>
    <w:rsid w:val="006D7000"/>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AD1"/>
    <w:rsid w:val="006F5D98"/>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286"/>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5F7"/>
    <w:rsid w:val="00727AF2"/>
    <w:rsid w:val="00727B4C"/>
    <w:rsid w:val="00727F27"/>
    <w:rsid w:val="007304A9"/>
    <w:rsid w:val="007304F6"/>
    <w:rsid w:val="007306B7"/>
    <w:rsid w:val="007306C2"/>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739"/>
    <w:rsid w:val="00743D77"/>
    <w:rsid w:val="00743FE9"/>
    <w:rsid w:val="007448B4"/>
    <w:rsid w:val="007449EB"/>
    <w:rsid w:val="00744EB8"/>
    <w:rsid w:val="007453E8"/>
    <w:rsid w:val="007455B0"/>
    <w:rsid w:val="00745645"/>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9B3"/>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19"/>
    <w:rsid w:val="00785FB4"/>
    <w:rsid w:val="00786901"/>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3B9F"/>
    <w:rsid w:val="007E407D"/>
    <w:rsid w:val="007E451F"/>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3B"/>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167"/>
    <w:rsid w:val="00814288"/>
    <w:rsid w:val="008142B3"/>
    <w:rsid w:val="00815661"/>
    <w:rsid w:val="00815776"/>
    <w:rsid w:val="0081596C"/>
    <w:rsid w:val="00815B07"/>
    <w:rsid w:val="00815DA0"/>
    <w:rsid w:val="00815F19"/>
    <w:rsid w:val="008162F3"/>
    <w:rsid w:val="008166C3"/>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469"/>
    <w:rsid w:val="00822721"/>
    <w:rsid w:val="00822EF3"/>
    <w:rsid w:val="00823085"/>
    <w:rsid w:val="00823246"/>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57D43"/>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08F"/>
    <w:rsid w:val="008D215B"/>
    <w:rsid w:val="008D25AF"/>
    <w:rsid w:val="008D262A"/>
    <w:rsid w:val="008D2694"/>
    <w:rsid w:val="008D28AD"/>
    <w:rsid w:val="008D29CA"/>
    <w:rsid w:val="008D2F85"/>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D4F"/>
    <w:rsid w:val="00917E7A"/>
    <w:rsid w:val="0092085C"/>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6FA"/>
    <w:rsid w:val="0099079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66B"/>
    <w:rsid w:val="009968D5"/>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54A"/>
    <w:rsid w:val="009A36DF"/>
    <w:rsid w:val="009A3709"/>
    <w:rsid w:val="009A3780"/>
    <w:rsid w:val="009A3EFB"/>
    <w:rsid w:val="009A4584"/>
    <w:rsid w:val="009A4747"/>
    <w:rsid w:val="009A489E"/>
    <w:rsid w:val="009A48EC"/>
    <w:rsid w:val="009A4E5F"/>
    <w:rsid w:val="009A5002"/>
    <w:rsid w:val="009A51B0"/>
    <w:rsid w:val="009A5DAF"/>
    <w:rsid w:val="009A6267"/>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956"/>
    <w:rsid w:val="00A13A77"/>
    <w:rsid w:val="00A13D6B"/>
    <w:rsid w:val="00A14958"/>
    <w:rsid w:val="00A14B51"/>
    <w:rsid w:val="00A15504"/>
    <w:rsid w:val="00A157AF"/>
    <w:rsid w:val="00A159B6"/>
    <w:rsid w:val="00A15D64"/>
    <w:rsid w:val="00A160A0"/>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591"/>
    <w:rsid w:val="00A52CB7"/>
    <w:rsid w:val="00A52F19"/>
    <w:rsid w:val="00A544AD"/>
    <w:rsid w:val="00A54507"/>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147"/>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E1E"/>
    <w:rsid w:val="00A94E43"/>
    <w:rsid w:val="00A95110"/>
    <w:rsid w:val="00A951D4"/>
    <w:rsid w:val="00A95407"/>
    <w:rsid w:val="00A955B1"/>
    <w:rsid w:val="00A95739"/>
    <w:rsid w:val="00A9575D"/>
    <w:rsid w:val="00A9591F"/>
    <w:rsid w:val="00A95AB6"/>
    <w:rsid w:val="00A95EF8"/>
    <w:rsid w:val="00A9618D"/>
    <w:rsid w:val="00A963BC"/>
    <w:rsid w:val="00A964BA"/>
    <w:rsid w:val="00A96510"/>
    <w:rsid w:val="00A965A3"/>
    <w:rsid w:val="00A96624"/>
    <w:rsid w:val="00A978F3"/>
    <w:rsid w:val="00A97EB2"/>
    <w:rsid w:val="00AA038E"/>
    <w:rsid w:val="00AA05A0"/>
    <w:rsid w:val="00AA0664"/>
    <w:rsid w:val="00AA06BD"/>
    <w:rsid w:val="00AA0C73"/>
    <w:rsid w:val="00AA1601"/>
    <w:rsid w:val="00AA1686"/>
    <w:rsid w:val="00AA1AE7"/>
    <w:rsid w:val="00AA268D"/>
    <w:rsid w:val="00AA2748"/>
    <w:rsid w:val="00AA27E3"/>
    <w:rsid w:val="00AA3184"/>
    <w:rsid w:val="00AA36F2"/>
    <w:rsid w:val="00AA37C6"/>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6D"/>
    <w:rsid w:val="00AD1ABE"/>
    <w:rsid w:val="00AD1F56"/>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EAD"/>
    <w:rsid w:val="00AF6FA8"/>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50D"/>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0BF0"/>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2354"/>
    <w:rsid w:val="00B731EA"/>
    <w:rsid w:val="00B732E8"/>
    <w:rsid w:val="00B7380B"/>
    <w:rsid w:val="00B73872"/>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9F7"/>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55A"/>
    <w:rsid w:val="00BC65C6"/>
    <w:rsid w:val="00BC673B"/>
    <w:rsid w:val="00BC6A2F"/>
    <w:rsid w:val="00BC6F63"/>
    <w:rsid w:val="00BC7433"/>
    <w:rsid w:val="00BC76FB"/>
    <w:rsid w:val="00BD00A4"/>
    <w:rsid w:val="00BD03EF"/>
    <w:rsid w:val="00BD043F"/>
    <w:rsid w:val="00BD0A0B"/>
    <w:rsid w:val="00BD0B5A"/>
    <w:rsid w:val="00BD0CCF"/>
    <w:rsid w:val="00BD0D11"/>
    <w:rsid w:val="00BD0FBE"/>
    <w:rsid w:val="00BD188E"/>
    <w:rsid w:val="00BD1C44"/>
    <w:rsid w:val="00BD1DDF"/>
    <w:rsid w:val="00BD248B"/>
    <w:rsid w:val="00BD25EB"/>
    <w:rsid w:val="00BD2BCE"/>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3E"/>
    <w:rsid w:val="00BD5FF2"/>
    <w:rsid w:val="00BD6278"/>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8AC"/>
    <w:rsid w:val="00BF0C3D"/>
    <w:rsid w:val="00BF119F"/>
    <w:rsid w:val="00BF1282"/>
    <w:rsid w:val="00BF186D"/>
    <w:rsid w:val="00BF18B1"/>
    <w:rsid w:val="00BF1B13"/>
    <w:rsid w:val="00BF2320"/>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597"/>
    <w:rsid w:val="00C04424"/>
    <w:rsid w:val="00C04E45"/>
    <w:rsid w:val="00C04FA3"/>
    <w:rsid w:val="00C05014"/>
    <w:rsid w:val="00C0507E"/>
    <w:rsid w:val="00C051DC"/>
    <w:rsid w:val="00C055AE"/>
    <w:rsid w:val="00C05F35"/>
    <w:rsid w:val="00C05F75"/>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CAF"/>
    <w:rsid w:val="00C11ED7"/>
    <w:rsid w:val="00C1236C"/>
    <w:rsid w:val="00C12D7B"/>
    <w:rsid w:val="00C13534"/>
    <w:rsid w:val="00C1356F"/>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08D7"/>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B90"/>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E2F"/>
    <w:rsid w:val="00C973B8"/>
    <w:rsid w:val="00C97AF5"/>
    <w:rsid w:val="00CA0FA7"/>
    <w:rsid w:val="00CA1416"/>
    <w:rsid w:val="00CA1547"/>
    <w:rsid w:val="00CA17A7"/>
    <w:rsid w:val="00CA1804"/>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DBA"/>
    <w:rsid w:val="00CE115C"/>
    <w:rsid w:val="00CE14FD"/>
    <w:rsid w:val="00CE172F"/>
    <w:rsid w:val="00CE17FA"/>
    <w:rsid w:val="00CE1AF4"/>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066"/>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A9"/>
    <w:rsid w:val="00D24B4A"/>
    <w:rsid w:val="00D24FA2"/>
    <w:rsid w:val="00D25802"/>
    <w:rsid w:val="00D25A91"/>
    <w:rsid w:val="00D25BDB"/>
    <w:rsid w:val="00D261B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72D"/>
    <w:rsid w:val="00D320C0"/>
    <w:rsid w:val="00D3241B"/>
    <w:rsid w:val="00D324B2"/>
    <w:rsid w:val="00D324F5"/>
    <w:rsid w:val="00D32510"/>
    <w:rsid w:val="00D327D9"/>
    <w:rsid w:val="00D32879"/>
    <w:rsid w:val="00D332DF"/>
    <w:rsid w:val="00D33D33"/>
    <w:rsid w:val="00D34276"/>
    <w:rsid w:val="00D34AF0"/>
    <w:rsid w:val="00D34CA7"/>
    <w:rsid w:val="00D351B0"/>
    <w:rsid w:val="00D35E4E"/>
    <w:rsid w:val="00D366F5"/>
    <w:rsid w:val="00D37241"/>
    <w:rsid w:val="00D37873"/>
    <w:rsid w:val="00D37FA2"/>
    <w:rsid w:val="00D40639"/>
    <w:rsid w:val="00D40A37"/>
    <w:rsid w:val="00D41607"/>
    <w:rsid w:val="00D41B1C"/>
    <w:rsid w:val="00D427CE"/>
    <w:rsid w:val="00D428A6"/>
    <w:rsid w:val="00D4364A"/>
    <w:rsid w:val="00D43921"/>
    <w:rsid w:val="00D44A5D"/>
    <w:rsid w:val="00D44A9B"/>
    <w:rsid w:val="00D44FF7"/>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6BB5"/>
    <w:rsid w:val="00D67043"/>
    <w:rsid w:val="00D67078"/>
    <w:rsid w:val="00D675A9"/>
    <w:rsid w:val="00D7008E"/>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DE4"/>
    <w:rsid w:val="00D92118"/>
    <w:rsid w:val="00D92744"/>
    <w:rsid w:val="00D9277D"/>
    <w:rsid w:val="00D92B9F"/>
    <w:rsid w:val="00D92CEC"/>
    <w:rsid w:val="00D93AAA"/>
    <w:rsid w:val="00D93FAF"/>
    <w:rsid w:val="00D943F3"/>
    <w:rsid w:val="00D947CF"/>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5B"/>
    <w:rsid w:val="00DA7136"/>
    <w:rsid w:val="00DA72B0"/>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1E"/>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70D"/>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158"/>
    <w:rsid w:val="00DE47F4"/>
    <w:rsid w:val="00DE4A46"/>
    <w:rsid w:val="00DE4FEE"/>
    <w:rsid w:val="00DE524A"/>
    <w:rsid w:val="00DE5E9D"/>
    <w:rsid w:val="00DE6883"/>
    <w:rsid w:val="00DE68D6"/>
    <w:rsid w:val="00DE6F37"/>
    <w:rsid w:val="00DE7EBC"/>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6BA"/>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B65"/>
    <w:rsid w:val="00E46CE4"/>
    <w:rsid w:val="00E474A1"/>
    <w:rsid w:val="00E47E03"/>
    <w:rsid w:val="00E502C5"/>
    <w:rsid w:val="00E50457"/>
    <w:rsid w:val="00E5056F"/>
    <w:rsid w:val="00E50791"/>
    <w:rsid w:val="00E50CC7"/>
    <w:rsid w:val="00E50F6B"/>
    <w:rsid w:val="00E511EE"/>
    <w:rsid w:val="00E51918"/>
    <w:rsid w:val="00E51B6E"/>
    <w:rsid w:val="00E51B87"/>
    <w:rsid w:val="00E5239C"/>
    <w:rsid w:val="00E52982"/>
    <w:rsid w:val="00E52BC8"/>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79E"/>
    <w:rsid w:val="00E61DE5"/>
    <w:rsid w:val="00E6220E"/>
    <w:rsid w:val="00E62425"/>
    <w:rsid w:val="00E629EA"/>
    <w:rsid w:val="00E62DE3"/>
    <w:rsid w:val="00E6308C"/>
    <w:rsid w:val="00E635AB"/>
    <w:rsid w:val="00E640C5"/>
    <w:rsid w:val="00E64378"/>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12E"/>
    <w:rsid w:val="00E72674"/>
    <w:rsid w:val="00E726E3"/>
    <w:rsid w:val="00E729C7"/>
    <w:rsid w:val="00E72A86"/>
    <w:rsid w:val="00E72BFB"/>
    <w:rsid w:val="00E72D1D"/>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325"/>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83C"/>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501"/>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0D0"/>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396"/>
    <w:rsid w:val="00F06431"/>
    <w:rsid w:val="00F066B4"/>
    <w:rsid w:val="00F06C57"/>
    <w:rsid w:val="00F07190"/>
    <w:rsid w:val="00F07BDF"/>
    <w:rsid w:val="00F1009C"/>
    <w:rsid w:val="00F1034E"/>
    <w:rsid w:val="00F10B13"/>
    <w:rsid w:val="00F10E0B"/>
    <w:rsid w:val="00F10E29"/>
    <w:rsid w:val="00F10E9C"/>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809"/>
    <w:rsid w:val="00F25978"/>
    <w:rsid w:val="00F25B61"/>
    <w:rsid w:val="00F26584"/>
    <w:rsid w:val="00F267D7"/>
    <w:rsid w:val="00F26F1D"/>
    <w:rsid w:val="00F2718C"/>
    <w:rsid w:val="00F273D3"/>
    <w:rsid w:val="00F2749B"/>
    <w:rsid w:val="00F278CB"/>
    <w:rsid w:val="00F27B69"/>
    <w:rsid w:val="00F3067F"/>
    <w:rsid w:val="00F306A3"/>
    <w:rsid w:val="00F30EAA"/>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A0"/>
    <w:rsid w:val="00F549B9"/>
    <w:rsid w:val="00F549DA"/>
    <w:rsid w:val="00F54AF4"/>
    <w:rsid w:val="00F54BAA"/>
    <w:rsid w:val="00F54C2B"/>
    <w:rsid w:val="00F55210"/>
    <w:rsid w:val="00F5585A"/>
    <w:rsid w:val="00F55E83"/>
    <w:rsid w:val="00F56E3E"/>
    <w:rsid w:val="00F578F6"/>
    <w:rsid w:val="00F57DE4"/>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47B"/>
    <w:rsid w:val="00F82F0C"/>
    <w:rsid w:val="00F82FC3"/>
    <w:rsid w:val="00F836EF"/>
    <w:rsid w:val="00F83719"/>
    <w:rsid w:val="00F837B2"/>
    <w:rsid w:val="00F84280"/>
    <w:rsid w:val="00F84D80"/>
    <w:rsid w:val="00F85276"/>
    <w:rsid w:val="00F85413"/>
    <w:rsid w:val="00F855E9"/>
    <w:rsid w:val="00F85813"/>
    <w:rsid w:val="00F85F38"/>
    <w:rsid w:val="00F861EF"/>
    <w:rsid w:val="00F863BB"/>
    <w:rsid w:val="00F86626"/>
    <w:rsid w:val="00F86721"/>
    <w:rsid w:val="00F867EB"/>
    <w:rsid w:val="00F86BD2"/>
    <w:rsid w:val="00F87D25"/>
    <w:rsid w:val="00F87E8D"/>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A5D"/>
    <w:rsid w:val="00FE0EA1"/>
    <w:rsid w:val="00FE1092"/>
    <w:rsid w:val="00FE122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E7FEE"/>
    <w:rsid w:val="00FF089D"/>
    <w:rsid w:val="00FF0AAC"/>
    <w:rsid w:val="00FF0E06"/>
    <w:rsid w:val="00FF1116"/>
    <w:rsid w:val="00FF1121"/>
    <w:rsid w:val="00FF12CB"/>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B9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C93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C93B90"/>
    <w:pPr>
      <w:pBdr>
        <w:top w:val="none" w:sz="0" w:space="0" w:color="auto"/>
      </w:pBdr>
      <w:spacing w:before="180"/>
      <w:outlineLvl w:val="1"/>
    </w:pPr>
    <w:rPr>
      <w:sz w:val="32"/>
    </w:rPr>
  </w:style>
  <w:style w:type="paragraph" w:styleId="Heading3">
    <w:name w:val="heading 3"/>
    <w:basedOn w:val="Heading2"/>
    <w:next w:val="Normal"/>
    <w:link w:val="Heading3Char"/>
    <w:qFormat/>
    <w:rsid w:val="00C93B90"/>
    <w:pPr>
      <w:spacing w:before="120"/>
      <w:outlineLvl w:val="2"/>
    </w:pPr>
    <w:rPr>
      <w:sz w:val="28"/>
    </w:rPr>
  </w:style>
  <w:style w:type="paragraph" w:styleId="Heading4">
    <w:name w:val="heading 4"/>
    <w:basedOn w:val="Heading3"/>
    <w:next w:val="Normal"/>
    <w:link w:val="Heading4Char"/>
    <w:qFormat/>
    <w:rsid w:val="00C93B90"/>
    <w:pPr>
      <w:ind w:left="1418" w:hanging="1418"/>
      <w:outlineLvl w:val="3"/>
    </w:pPr>
    <w:rPr>
      <w:sz w:val="24"/>
    </w:rPr>
  </w:style>
  <w:style w:type="paragraph" w:styleId="Heading5">
    <w:name w:val="heading 5"/>
    <w:basedOn w:val="Heading4"/>
    <w:next w:val="Normal"/>
    <w:link w:val="Heading5Char"/>
    <w:qFormat/>
    <w:rsid w:val="00C93B90"/>
    <w:pPr>
      <w:ind w:left="1701" w:hanging="1701"/>
      <w:outlineLvl w:val="4"/>
    </w:pPr>
    <w:rPr>
      <w:sz w:val="22"/>
    </w:rPr>
  </w:style>
  <w:style w:type="paragraph" w:styleId="Heading6">
    <w:name w:val="heading 6"/>
    <w:basedOn w:val="H6"/>
    <w:next w:val="Normal"/>
    <w:qFormat/>
    <w:rsid w:val="00C93B90"/>
    <w:pPr>
      <w:outlineLvl w:val="5"/>
    </w:pPr>
  </w:style>
  <w:style w:type="paragraph" w:styleId="Heading7">
    <w:name w:val="heading 7"/>
    <w:basedOn w:val="H6"/>
    <w:next w:val="Normal"/>
    <w:qFormat/>
    <w:rsid w:val="00C93B90"/>
    <w:pPr>
      <w:outlineLvl w:val="6"/>
    </w:pPr>
  </w:style>
  <w:style w:type="paragraph" w:styleId="Heading8">
    <w:name w:val="heading 8"/>
    <w:basedOn w:val="Heading1"/>
    <w:next w:val="Normal"/>
    <w:qFormat/>
    <w:rsid w:val="00C93B90"/>
    <w:pPr>
      <w:ind w:left="0" w:firstLine="0"/>
      <w:outlineLvl w:val="7"/>
    </w:pPr>
  </w:style>
  <w:style w:type="paragraph" w:styleId="Heading9">
    <w:name w:val="heading 9"/>
    <w:basedOn w:val="Heading8"/>
    <w:next w:val="Normal"/>
    <w:qFormat/>
    <w:rsid w:val="00C93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3B90"/>
    <w:pPr>
      <w:ind w:left="1985" w:hanging="1985"/>
      <w:outlineLvl w:val="9"/>
    </w:pPr>
    <w:rPr>
      <w:sz w:val="20"/>
    </w:rPr>
  </w:style>
  <w:style w:type="paragraph" w:styleId="List3">
    <w:name w:val="List 3"/>
    <w:basedOn w:val="List2"/>
    <w:rsid w:val="00C93B90"/>
    <w:pPr>
      <w:ind w:left="1135"/>
    </w:pPr>
  </w:style>
  <w:style w:type="paragraph" w:styleId="List2">
    <w:name w:val="List 2"/>
    <w:basedOn w:val="List"/>
    <w:rsid w:val="00C93B90"/>
    <w:pPr>
      <w:ind w:left="851"/>
    </w:pPr>
  </w:style>
  <w:style w:type="paragraph" w:styleId="List">
    <w:name w:val="List"/>
    <w:basedOn w:val="Normal"/>
    <w:rsid w:val="00C93B90"/>
    <w:pPr>
      <w:ind w:left="568" w:hanging="284"/>
    </w:pPr>
  </w:style>
  <w:style w:type="paragraph" w:styleId="TOC7">
    <w:name w:val="toc 7"/>
    <w:basedOn w:val="TOC6"/>
    <w:next w:val="Normal"/>
    <w:semiHidden/>
    <w:rsid w:val="00C93B90"/>
    <w:pPr>
      <w:ind w:left="2268" w:hanging="2268"/>
    </w:pPr>
  </w:style>
  <w:style w:type="paragraph" w:styleId="TOC6">
    <w:name w:val="toc 6"/>
    <w:basedOn w:val="TOC5"/>
    <w:next w:val="Normal"/>
    <w:semiHidden/>
    <w:rsid w:val="00C93B90"/>
    <w:pPr>
      <w:ind w:left="1985" w:hanging="1985"/>
    </w:pPr>
  </w:style>
  <w:style w:type="paragraph" w:styleId="TOC5">
    <w:name w:val="toc 5"/>
    <w:basedOn w:val="TOC4"/>
    <w:semiHidden/>
    <w:rsid w:val="00C93B90"/>
    <w:pPr>
      <w:ind w:left="1701" w:hanging="1701"/>
    </w:pPr>
  </w:style>
  <w:style w:type="paragraph" w:styleId="TOC4">
    <w:name w:val="toc 4"/>
    <w:basedOn w:val="TOC3"/>
    <w:semiHidden/>
    <w:rsid w:val="00C93B90"/>
    <w:pPr>
      <w:ind w:left="1418" w:hanging="1418"/>
    </w:pPr>
  </w:style>
  <w:style w:type="paragraph" w:styleId="TOC3">
    <w:name w:val="toc 3"/>
    <w:basedOn w:val="TOC2"/>
    <w:semiHidden/>
    <w:rsid w:val="00C93B90"/>
    <w:pPr>
      <w:ind w:left="1134" w:hanging="1134"/>
    </w:pPr>
  </w:style>
  <w:style w:type="paragraph" w:styleId="TOC2">
    <w:name w:val="toc 2"/>
    <w:basedOn w:val="TOC1"/>
    <w:semiHidden/>
    <w:rsid w:val="00C93B90"/>
    <w:pPr>
      <w:keepNext w:val="0"/>
      <w:spacing w:before="0"/>
      <w:ind w:left="851" w:hanging="851"/>
    </w:pPr>
    <w:rPr>
      <w:sz w:val="20"/>
    </w:rPr>
  </w:style>
  <w:style w:type="paragraph" w:styleId="TOC1">
    <w:name w:val="toc 1"/>
    <w:semiHidden/>
    <w:rsid w:val="00C93B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C93B90"/>
    <w:pPr>
      <w:ind w:left="851"/>
    </w:pPr>
  </w:style>
  <w:style w:type="paragraph" w:styleId="ListNumber">
    <w:name w:val="List Number"/>
    <w:basedOn w:val="List"/>
    <w:rsid w:val="00C93B90"/>
  </w:style>
  <w:style w:type="paragraph" w:styleId="ListBullet4">
    <w:name w:val="List Bullet 4"/>
    <w:basedOn w:val="ListBullet3"/>
    <w:rsid w:val="00C93B90"/>
    <w:pPr>
      <w:ind w:left="1418"/>
    </w:pPr>
  </w:style>
  <w:style w:type="paragraph" w:styleId="ListBullet3">
    <w:name w:val="List Bullet 3"/>
    <w:basedOn w:val="ListBullet2"/>
    <w:rsid w:val="00C93B90"/>
    <w:pPr>
      <w:ind w:left="1135"/>
    </w:pPr>
  </w:style>
  <w:style w:type="paragraph" w:styleId="ListBullet2">
    <w:name w:val="List Bullet 2"/>
    <w:basedOn w:val="ListBullet"/>
    <w:rsid w:val="00C93B90"/>
    <w:pPr>
      <w:ind w:left="851"/>
    </w:pPr>
  </w:style>
  <w:style w:type="paragraph" w:styleId="ListBullet">
    <w:name w:val="List Bullet"/>
    <w:basedOn w:val="List"/>
    <w:rsid w:val="00C93B90"/>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C93B90"/>
    <w:pPr>
      <w:ind w:left="1702"/>
    </w:pPr>
  </w:style>
  <w:style w:type="paragraph" w:styleId="TOC8">
    <w:name w:val="toc 8"/>
    <w:basedOn w:val="TOC1"/>
    <w:semiHidden/>
    <w:rsid w:val="00C93B90"/>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C93B90"/>
    <w:pPr>
      <w:jc w:val="center"/>
    </w:pPr>
    <w:rPr>
      <w:i/>
    </w:rPr>
  </w:style>
  <w:style w:type="paragraph" w:styleId="Header">
    <w:name w:val="header"/>
    <w:link w:val="HeaderChar"/>
    <w:rsid w:val="00C93B90"/>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C93B90"/>
    <w:pPr>
      <w:keepLines/>
      <w:spacing w:after="0"/>
      <w:ind w:left="454" w:hanging="454"/>
    </w:pPr>
    <w:rPr>
      <w:sz w:val="16"/>
    </w:rPr>
  </w:style>
  <w:style w:type="paragraph" w:styleId="List5">
    <w:name w:val="List 5"/>
    <w:basedOn w:val="List4"/>
    <w:rsid w:val="00C93B90"/>
    <w:pPr>
      <w:ind w:left="1702"/>
    </w:pPr>
  </w:style>
  <w:style w:type="paragraph" w:styleId="List4">
    <w:name w:val="List 4"/>
    <w:basedOn w:val="List3"/>
    <w:rsid w:val="00C93B90"/>
    <w:pPr>
      <w:ind w:left="1418"/>
    </w:pPr>
  </w:style>
  <w:style w:type="paragraph" w:styleId="TOC9">
    <w:name w:val="toc 9"/>
    <w:basedOn w:val="TOC8"/>
    <w:semiHidden/>
    <w:rsid w:val="00C93B90"/>
    <w:pPr>
      <w:ind w:left="1418" w:hanging="1418"/>
    </w:pPr>
  </w:style>
  <w:style w:type="paragraph" w:styleId="Index1">
    <w:name w:val="index 1"/>
    <w:basedOn w:val="Normal"/>
    <w:semiHidden/>
    <w:rsid w:val="00C93B90"/>
    <w:pPr>
      <w:keepLines/>
      <w:spacing w:after="0"/>
    </w:pPr>
  </w:style>
  <w:style w:type="paragraph" w:styleId="Index2">
    <w:name w:val="index 2"/>
    <w:basedOn w:val="Index1"/>
    <w:semiHidden/>
    <w:rsid w:val="00C93B90"/>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C93B90"/>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C93B90"/>
  </w:style>
  <w:style w:type="paragraph" w:customStyle="1" w:styleId="TAL">
    <w:name w:val="TAL"/>
    <w:basedOn w:val="Normal"/>
    <w:link w:val="TALCar"/>
    <w:rsid w:val="00C93B90"/>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C93B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C93B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C93B90"/>
    <w:pPr>
      <w:outlineLvl w:val="9"/>
    </w:pPr>
  </w:style>
  <w:style w:type="paragraph" w:customStyle="1" w:styleId="TAH">
    <w:name w:val="TAH"/>
    <w:basedOn w:val="TAC"/>
    <w:link w:val="TAHCar"/>
    <w:rsid w:val="00C93B90"/>
    <w:rPr>
      <w:b/>
    </w:rPr>
  </w:style>
  <w:style w:type="paragraph" w:customStyle="1" w:styleId="TAC">
    <w:name w:val="TAC"/>
    <w:basedOn w:val="TAL"/>
    <w:rsid w:val="00C93B90"/>
    <w:pPr>
      <w:jc w:val="center"/>
    </w:pPr>
  </w:style>
  <w:style w:type="paragraph" w:customStyle="1" w:styleId="TF">
    <w:name w:val="TF"/>
    <w:aliases w:val="left"/>
    <w:basedOn w:val="TH"/>
    <w:link w:val="TFChar"/>
    <w:rsid w:val="00C93B90"/>
    <w:pPr>
      <w:keepNext w:val="0"/>
      <w:spacing w:before="0" w:after="240"/>
    </w:pPr>
  </w:style>
  <w:style w:type="paragraph" w:customStyle="1" w:styleId="TH">
    <w:name w:val="TH"/>
    <w:basedOn w:val="Normal"/>
    <w:link w:val="THChar"/>
    <w:rsid w:val="00C93B90"/>
    <w:pPr>
      <w:keepNext/>
      <w:keepLines/>
      <w:spacing w:before="60"/>
      <w:jc w:val="center"/>
    </w:pPr>
    <w:rPr>
      <w:rFonts w:ascii="Arial" w:hAnsi="Arial"/>
      <w:b/>
    </w:rPr>
  </w:style>
  <w:style w:type="paragraph" w:customStyle="1" w:styleId="NO">
    <w:name w:val="NO"/>
    <w:basedOn w:val="Normal"/>
    <w:link w:val="NOChar"/>
    <w:rsid w:val="00C93B90"/>
    <w:pPr>
      <w:keepLines/>
      <w:ind w:left="1135" w:hanging="851"/>
    </w:pPr>
  </w:style>
  <w:style w:type="paragraph" w:customStyle="1" w:styleId="EX">
    <w:name w:val="EX"/>
    <w:basedOn w:val="Normal"/>
    <w:rsid w:val="00C93B90"/>
    <w:pPr>
      <w:keepLines/>
      <w:ind w:left="1702" w:hanging="1418"/>
    </w:pPr>
  </w:style>
  <w:style w:type="paragraph" w:customStyle="1" w:styleId="FP">
    <w:name w:val="FP"/>
    <w:basedOn w:val="Normal"/>
    <w:rsid w:val="00C93B90"/>
    <w:pPr>
      <w:spacing w:after="0"/>
    </w:pPr>
  </w:style>
  <w:style w:type="paragraph" w:customStyle="1" w:styleId="LD">
    <w:name w:val="LD"/>
    <w:rsid w:val="00C93B9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93B90"/>
    <w:pPr>
      <w:spacing w:after="0"/>
    </w:pPr>
  </w:style>
  <w:style w:type="paragraph" w:customStyle="1" w:styleId="EW">
    <w:name w:val="EW"/>
    <w:basedOn w:val="EX"/>
    <w:rsid w:val="00C93B90"/>
    <w:pPr>
      <w:spacing w:after="0"/>
    </w:pPr>
  </w:style>
  <w:style w:type="paragraph" w:customStyle="1" w:styleId="EQ">
    <w:name w:val="EQ"/>
    <w:basedOn w:val="Normal"/>
    <w:next w:val="Normal"/>
    <w:rsid w:val="00C93B90"/>
    <w:pPr>
      <w:keepLines/>
      <w:tabs>
        <w:tab w:val="center" w:pos="4536"/>
        <w:tab w:val="right" w:pos="9072"/>
      </w:tabs>
    </w:pPr>
    <w:rPr>
      <w:noProof/>
    </w:rPr>
  </w:style>
  <w:style w:type="paragraph" w:customStyle="1" w:styleId="NF">
    <w:name w:val="NF"/>
    <w:basedOn w:val="NO"/>
    <w:rsid w:val="00C93B90"/>
    <w:pPr>
      <w:keepNext/>
      <w:spacing w:after="0"/>
    </w:pPr>
    <w:rPr>
      <w:rFonts w:ascii="Arial" w:hAnsi="Arial"/>
      <w:sz w:val="18"/>
    </w:rPr>
  </w:style>
  <w:style w:type="paragraph" w:customStyle="1" w:styleId="PL">
    <w:name w:val="PL"/>
    <w:link w:val="PLChar"/>
    <w:rsid w:val="00C93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93B90"/>
    <w:pPr>
      <w:jc w:val="right"/>
    </w:pPr>
  </w:style>
  <w:style w:type="paragraph" w:customStyle="1" w:styleId="TAN">
    <w:name w:val="TAN"/>
    <w:basedOn w:val="TAL"/>
    <w:rsid w:val="00C93B90"/>
    <w:pPr>
      <w:ind w:left="851" w:hanging="851"/>
    </w:pPr>
  </w:style>
  <w:style w:type="paragraph" w:customStyle="1" w:styleId="ZA">
    <w:name w:val="ZA"/>
    <w:rsid w:val="00C93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93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C93B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C93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93B90"/>
    <w:pPr>
      <w:framePr w:wrap="notBeside" w:y="16161"/>
    </w:pPr>
  </w:style>
  <w:style w:type="character" w:customStyle="1" w:styleId="ZGSM">
    <w:name w:val="ZGSM"/>
    <w:rsid w:val="00C93B90"/>
  </w:style>
  <w:style w:type="paragraph" w:customStyle="1" w:styleId="ZG">
    <w:name w:val="ZG"/>
    <w:rsid w:val="00C93B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C93B90"/>
    <w:rPr>
      <w:color w:val="FF0000"/>
    </w:rPr>
  </w:style>
  <w:style w:type="paragraph" w:customStyle="1" w:styleId="B2">
    <w:name w:val="B2"/>
    <w:basedOn w:val="List2"/>
    <w:link w:val="B2Char"/>
    <w:rsid w:val="00C93B90"/>
  </w:style>
  <w:style w:type="paragraph" w:customStyle="1" w:styleId="B3">
    <w:name w:val="B3"/>
    <w:basedOn w:val="List3"/>
    <w:link w:val="B3Char2"/>
    <w:rsid w:val="00C93B90"/>
  </w:style>
  <w:style w:type="paragraph" w:customStyle="1" w:styleId="B4">
    <w:name w:val="B4"/>
    <w:basedOn w:val="List4"/>
    <w:link w:val="B4Char"/>
    <w:rsid w:val="00C93B90"/>
  </w:style>
  <w:style w:type="paragraph" w:customStyle="1" w:styleId="B5">
    <w:name w:val="B5"/>
    <w:basedOn w:val="List5"/>
    <w:link w:val="B5Char"/>
    <w:rsid w:val="00C93B90"/>
  </w:style>
  <w:style w:type="paragraph" w:customStyle="1" w:styleId="ZTD">
    <w:name w:val="ZTD"/>
    <w:basedOn w:val="ZB"/>
    <w:rsid w:val="00C93B90"/>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90E7E28-33DE-430A-A3FA-5B6A5D84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1465</Words>
  <Characters>8355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14</cp:revision>
  <cp:lastPrinted>2014-08-13T09:20:00Z</cp:lastPrinted>
  <dcterms:created xsi:type="dcterms:W3CDTF">2025-05-08T13:43:00Z</dcterms:created>
  <dcterms:modified xsi:type="dcterms:W3CDTF">2025-05-08T13:45:00Z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